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3D5C">
      <w:pPr>
        <w:pStyle w:val="2"/>
        <w:kinsoku/>
        <w:autoSpaceDE/>
        <w:autoSpaceDN/>
        <w:bidi w:val="0"/>
        <w:adjustRightInd/>
        <w:snapToGrid/>
        <w:jc w:val="center"/>
        <w:textAlignment w:val="auto"/>
        <w:rPr>
          <w:rFonts w:hint="eastAsia" w:ascii="宋体" w:hAnsi="宋体" w:eastAsia="宋体" w:cs="宋体"/>
          <w:snapToGrid/>
        </w:rPr>
      </w:pPr>
      <w:r>
        <w:rPr>
          <w:rFonts w:hint="eastAsia" w:ascii="宋体" w:hAnsi="宋体" w:cs="宋体"/>
          <w:snapToGrid/>
          <w:lang w:val="en-US" w:eastAsia="zh-CN"/>
        </w:rPr>
        <w:t>一、</w:t>
      </w:r>
      <w:r>
        <w:rPr>
          <w:rFonts w:hint="eastAsia" w:ascii="宋体" w:hAnsi="宋体" w:eastAsia="宋体" w:cs="宋体"/>
          <w:snapToGrid/>
        </w:rPr>
        <w:t>项目需求</w:t>
      </w:r>
      <w:bookmarkStart w:id="0" w:name="_Toc501353475"/>
      <w:bookmarkStart w:id="1" w:name="_Hlk525739388"/>
    </w:p>
    <w:p w14:paraId="709CC2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eastAsia="zh-CN"/>
        </w:rPr>
        <w:t>一、</w:t>
      </w:r>
      <w:r>
        <w:rPr>
          <w:rFonts w:hint="eastAsia" w:ascii="宋体" w:hAnsi="宋体" w:eastAsia="宋体" w:cs="宋体"/>
          <w:b/>
          <w:bCs/>
          <w:snapToGrid/>
          <w:kern w:val="2"/>
          <w:sz w:val="24"/>
          <w:szCs w:val="24"/>
          <w:lang w:val="en-US" w:eastAsia="zh-CN"/>
        </w:rPr>
        <w:t>项目概况</w:t>
      </w:r>
    </w:p>
    <w:p w14:paraId="20939991">
      <w:pPr>
        <w:widowControl w:val="0"/>
        <w:kinsoku/>
        <w:autoSpaceDE/>
        <w:autoSpaceDN/>
        <w:adjustRightInd/>
        <w:snapToGrid/>
        <w:spacing w:line="360" w:lineRule="auto"/>
        <w:ind w:firstLine="420" w:firstLineChars="200"/>
        <w:jc w:val="both"/>
        <w:textAlignment w:val="auto"/>
        <w:rPr>
          <w:rFonts w:hint="eastAsia" w:ascii="宋体" w:hAnsi="宋体" w:eastAsia="宋体" w:cs="宋体"/>
          <w:b w:val="0"/>
          <w:bCs w:val="0"/>
          <w:snapToGrid/>
          <w:kern w:val="2"/>
          <w:szCs w:val="21"/>
          <w:lang w:val="en-US" w:eastAsia="zh-CN"/>
        </w:rPr>
      </w:pPr>
      <w:r>
        <w:rPr>
          <w:rFonts w:hint="eastAsia" w:ascii="宋体" w:hAnsi="宋体" w:eastAsia="宋体" w:cs="宋体"/>
          <w:b w:val="0"/>
          <w:bCs w:val="0"/>
          <w:snapToGrid/>
          <w:kern w:val="2"/>
          <w:szCs w:val="21"/>
          <w:lang w:val="en-US" w:eastAsia="zh-CN"/>
        </w:rPr>
        <w:t>随着电气自动化技术、无人机技术的不断发展和教育改革的深入推进，电工和无人机中高级技能鉴定题库进行了调整，对技能人才的培养采购需求及依据和考核提出了更高的要求。为了提升专业教学质量和考核水平，满足在校学生以及社会人员专业培训的校内实践教学需求，特申请购置以下产品。</w:t>
      </w:r>
    </w:p>
    <w:p w14:paraId="4AACE7CC">
      <w:pPr>
        <w:widowControl w:val="0"/>
        <w:kinsoku/>
        <w:autoSpaceDE/>
        <w:autoSpaceDN/>
        <w:adjustRightInd/>
        <w:snapToGrid/>
        <w:spacing w:line="360" w:lineRule="auto"/>
        <w:jc w:val="both"/>
        <w:textAlignment w:val="auto"/>
        <w:rPr>
          <w:rFonts w:hint="eastAsia" w:ascii="宋体" w:hAnsi="宋体" w:eastAsia="宋体" w:cs="宋体"/>
          <w:b/>
          <w:bCs/>
          <w:snapToGrid/>
          <w:kern w:val="2"/>
          <w:szCs w:val="21"/>
          <w:lang w:val="en-US" w:eastAsia="zh-CN"/>
        </w:rPr>
      </w:pPr>
      <w:r>
        <w:rPr>
          <w:rFonts w:hint="eastAsia" w:ascii="宋体" w:hAnsi="宋体" w:eastAsia="宋体" w:cs="宋体"/>
          <w:b/>
          <w:bCs/>
          <w:snapToGrid/>
          <w:kern w:val="2"/>
          <w:szCs w:val="21"/>
          <w:lang w:val="en-US" w:eastAsia="zh-CN"/>
        </w:rPr>
        <w:t>二、采购清单</w:t>
      </w:r>
    </w:p>
    <w:tbl>
      <w:tblPr>
        <w:tblStyle w:val="5"/>
        <w:tblW w:w="5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12"/>
        <w:gridCol w:w="7430"/>
        <w:gridCol w:w="989"/>
      </w:tblGrid>
      <w:tr w14:paraId="7B6F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2FC59DB7">
            <w:pPr>
              <w:widowControl w:val="0"/>
              <w:kinsoku/>
              <w:autoSpaceDE/>
              <w:autoSpaceDN/>
              <w:bidi w:val="0"/>
              <w:adjustRightInd/>
              <w:snapToGrid/>
              <w:spacing w:line="240" w:lineRule="auto"/>
              <w:jc w:val="center"/>
              <w:textAlignment w:val="auto"/>
              <w:rPr>
                <w:rFonts w:hint="eastAsia" w:ascii="Times New Roman" w:hAnsi="Times New Roman" w:eastAsia="宋体" w:cs="Times New Roman"/>
                <w:b/>
                <w:bCs/>
                <w:snapToGrid/>
                <w:kern w:val="2"/>
                <w:szCs w:val="22"/>
                <w:lang w:eastAsia="zh-CN"/>
              </w:rPr>
            </w:pPr>
            <w:r>
              <w:rPr>
                <w:rFonts w:hint="eastAsia" w:ascii="Times New Roman" w:hAnsi="Times New Roman" w:eastAsia="宋体" w:cs="Times New Roman"/>
                <w:b/>
                <w:bCs/>
                <w:snapToGrid/>
                <w:kern w:val="2"/>
                <w:szCs w:val="22"/>
                <w:lang w:eastAsia="zh-CN"/>
              </w:rPr>
              <w:t>序号</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6913177B">
            <w:pPr>
              <w:widowControl w:val="0"/>
              <w:kinsoku/>
              <w:autoSpaceDE/>
              <w:autoSpaceDN/>
              <w:bidi w:val="0"/>
              <w:adjustRightInd/>
              <w:snapToGrid/>
              <w:spacing w:line="240" w:lineRule="auto"/>
              <w:jc w:val="center"/>
              <w:textAlignment w:val="auto"/>
              <w:rPr>
                <w:rFonts w:hint="eastAsia" w:ascii="Times New Roman" w:hAnsi="Times New Roman" w:eastAsia="宋体" w:cs="Times New Roman"/>
                <w:b/>
                <w:bCs/>
                <w:snapToGrid/>
                <w:kern w:val="2"/>
                <w:szCs w:val="22"/>
                <w:lang w:eastAsia="zh-CN"/>
              </w:rPr>
            </w:pPr>
            <w:r>
              <w:rPr>
                <w:rFonts w:hint="eastAsia" w:ascii="Times New Roman" w:hAnsi="Times New Roman" w:eastAsia="宋体" w:cs="Times New Roman"/>
                <w:b/>
                <w:bCs/>
                <w:snapToGrid/>
                <w:kern w:val="2"/>
                <w:szCs w:val="22"/>
                <w:lang w:eastAsia="zh-CN"/>
              </w:rPr>
              <w:t>名称</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54B9ED70">
            <w:pPr>
              <w:widowControl w:val="0"/>
              <w:kinsoku/>
              <w:autoSpaceDE/>
              <w:autoSpaceDN/>
              <w:bidi w:val="0"/>
              <w:adjustRightInd/>
              <w:snapToGrid/>
              <w:spacing w:line="240" w:lineRule="auto"/>
              <w:jc w:val="center"/>
              <w:textAlignment w:val="auto"/>
              <w:rPr>
                <w:rFonts w:hint="eastAsia" w:ascii="Times New Roman" w:hAnsi="Times New Roman" w:eastAsia="宋体" w:cs="Times New Roman"/>
                <w:b/>
                <w:bCs/>
                <w:snapToGrid/>
                <w:kern w:val="2"/>
                <w:szCs w:val="22"/>
                <w:lang w:eastAsia="zh-CN"/>
              </w:rPr>
            </w:pPr>
            <w:r>
              <w:rPr>
                <w:rFonts w:hint="eastAsia" w:ascii="Times New Roman" w:hAnsi="Times New Roman" w:eastAsia="宋体" w:cs="Times New Roman"/>
                <w:b/>
                <w:bCs/>
                <w:snapToGrid/>
                <w:kern w:val="2"/>
                <w:szCs w:val="22"/>
                <w:lang w:eastAsia="zh-CN"/>
              </w:rPr>
              <w:t>设备型号及主要参数</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EFA6953">
            <w:pPr>
              <w:widowControl w:val="0"/>
              <w:kinsoku/>
              <w:autoSpaceDE/>
              <w:autoSpaceDN/>
              <w:bidi w:val="0"/>
              <w:adjustRightInd/>
              <w:snapToGrid/>
              <w:spacing w:line="240" w:lineRule="auto"/>
              <w:jc w:val="center"/>
              <w:textAlignment w:val="auto"/>
              <w:rPr>
                <w:rFonts w:hint="eastAsia" w:ascii="Times New Roman" w:hAnsi="Times New Roman" w:eastAsia="宋体" w:cs="Times New Roman"/>
                <w:b/>
                <w:bCs/>
                <w:snapToGrid/>
                <w:kern w:val="2"/>
                <w:szCs w:val="22"/>
                <w:lang w:eastAsia="zh-CN"/>
              </w:rPr>
            </w:pPr>
            <w:r>
              <w:rPr>
                <w:rFonts w:hint="eastAsia" w:ascii="Times New Roman" w:hAnsi="Times New Roman" w:eastAsia="宋体" w:cs="Times New Roman"/>
                <w:b/>
                <w:bCs/>
                <w:snapToGrid/>
                <w:kern w:val="2"/>
                <w:szCs w:val="22"/>
                <w:lang w:eastAsia="zh-CN"/>
              </w:rPr>
              <w:t>数量(台、套)</w:t>
            </w:r>
          </w:p>
        </w:tc>
      </w:tr>
      <w:tr w14:paraId="2D95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3399F79C">
            <w:pPr>
              <w:widowControl w:val="0"/>
              <w:kinsoku/>
              <w:autoSpaceDE/>
              <w:autoSpaceDN/>
              <w:adjustRightInd/>
              <w:snapToGrid/>
              <w:spacing w:after="160" w:line="278" w:lineRule="auto"/>
              <w:jc w:val="center"/>
              <w:textAlignment w:val="auto"/>
              <w:rPr>
                <w:rFonts w:hint="eastAsia" w:ascii="宋体" w:hAnsi="宋体" w:eastAsia="宋体" w:cs="宋体"/>
                <w:b/>
                <w:bCs/>
                <w:snapToGrid/>
                <w:kern w:val="2"/>
                <w:sz w:val="21"/>
                <w:szCs w:val="21"/>
                <w:lang w:eastAsia="zh-CN"/>
              </w:rPr>
            </w:pPr>
            <w:r>
              <w:rPr>
                <w:rFonts w:hint="eastAsia" w:ascii="宋体" w:hAnsi="宋体" w:eastAsia="宋体" w:cs="宋体"/>
                <w:b w:val="0"/>
                <w:bCs w:val="0"/>
                <w:snapToGrid/>
                <w:kern w:val="2"/>
                <w:sz w:val="21"/>
                <w:szCs w:val="21"/>
                <w:lang w:eastAsia="zh-CN"/>
              </w:rPr>
              <w:t>1</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3C1D1264">
            <w:pPr>
              <w:widowControl w:val="0"/>
              <w:kinsoku/>
              <w:autoSpaceDE/>
              <w:autoSpaceDN/>
              <w:adjustRightInd/>
              <w:snapToGrid/>
              <w:spacing w:after="160" w:line="278"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直流调速系统考核模块</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27FA0DF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电压、电流双闭环可逆直流调速系统是通过电流内环与转速外环协同工作的自动调速装置。其核心结构由电流环（内环）和转速环（外环）组成，采用比例积分调节器实现闭环控制。系统通过电流环快速调节电枢电流，限制突变电流以保护设备；转速环则负责精准控制电机转速，确保稳态精度和抗负载扰动能力。这种分层控制策略使系统具备动态响应快、启制动过程平稳的特点，同时有效抑制电网电压波动带来的影响。</w:t>
            </w:r>
          </w:p>
          <w:p w14:paraId="69AE66D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1、输入电源：AC220V， 50HZ，带短路保护。</w:t>
            </w:r>
          </w:p>
          <w:p w14:paraId="5BD06355">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2、工作环境温度：-10～55℃； 相对湿度＜85%(25℃)。</w:t>
            </w:r>
          </w:p>
          <w:p w14:paraId="58AB220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3、实训箱外形尺寸（长宽高）：≥550mm×350mm×160mm；</w:t>
            </w:r>
          </w:p>
          <w:p w14:paraId="76F5011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4、安装电路模块</w:t>
            </w:r>
          </w:p>
          <w:p w14:paraId="16B8866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▲1）安装电压、电流双闭环可逆直流调速系统电路，配套电机系统并调试运行；</w:t>
            </w:r>
          </w:p>
          <w:p w14:paraId="10CD7591">
            <w:pPr>
              <w:widowControl w:val="0"/>
              <w:kinsoku/>
              <w:autoSpaceDE/>
              <w:autoSpaceDN/>
              <w:bidi w:val="0"/>
              <w:adjustRightInd/>
              <w:snapToGrid/>
              <w:spacing w:line="360" w:lineRule="auto"/>
              <w:jc w:val="both"/>
              <w:textAlignment w:val="auto"/>
              <w:rPr>
                <w:rFonts w:hint="eastAsia" w:ascii="宋体" w:hAnsi="宋体" w:eastAsia="宋体" w:cs="宋体"/>
                <w:b/>
                <w:bCs/>
                <w:snapToGrid/>
                <w:kern w:val="2"/>
                <w:szCs w:val="22"/>
                <w:lang w:eastAsia="zh-CN"/>
              </w:rPr>
            </w:pPr>
            <w:r>
              <w:rPr>
                <w:rFonts w:hint="eastAsia" w:ascii="宋体" w:hAnsi="宋体" w:eastAsia="宋体" w:cs="宋体"/>
                <w:snapToGrid/>
                <w:kern w:val="2"/>
                <w:szCs w:val="22"/>
                <w:lang w:eastAsia="zh-CN"/>
              </w:rPr>
              <w:t>（</w:t>
            </w:r>
            <w:r>
              <w:rPr>
                <w:rFonts w:hint="eastAsia" w:ascii="宋体" w:hAnsi="宋体" w:eastAsia="宋体" w:cs="宋体"/>
                <w:b/>
                <w:bCs/>
                <w:snapToGrid/>
                <w:kern w:val="2"/>
                <w:szCs w:val="22"/>
                <w:lang w:eastAsia="zh-CN"/>
              </w:rPr>
              <w:t>提供模块完整电压、电流双闭环可逆直流调速系统电路框图截图</w:t>
            </w:r>
            <w:r>
              <w:rPr>
                <w:rFonts w:hint="eastAsia" w:ascii="宋体" w:hAnsi="宋体" w:eastAsia="宋体" w:cs="宋体"/>
                <w:b/>
                <w:bCs/>
                <w:snapToGrid/>
                <w:kern w:val="2"/>
                <w:szCs w:val="22"/>
                <w:lang w:val="en-US" w:eastAsia="zh-CN"/>
              </w:rPr>
              <w:t>证明</w:t>
            </w:r>
            <w:r>
              <w:rPr>
                <w:rFonts w:hint="eastAsia" w:ascii="宋体" w:hAnsi="宋体" w:eastAsia="宋体" w:cs="宋体"/>
                <w:b/>
                <w:bCs/>
                <w:snapToGrid/>
                <w:kern w:val="2"/>
                <w:szCs w:val="22"/>
                <w:lang w:eastAsia="zh-CN"/>
              </w:rPr>
              <w:t>并加盖投标供应商公章）</w:t>
            </w:r>
          </w:p>
          <w:p w14:paraId="05CADF7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▲2）安装电路</w:t>
            </w:r>
            <w:r>
              <w:rPr>
                <w:rFonts w:hint="eastAsia" w:ascii="宋体" w:hAnsi="宋体" w:eastAsia="宋体" w:cs="宋体"/>
                <w:b/>
                <w:bCs/>
                <w:snapToGrid/>
                <w:kern w:val="2"/>
                <w:szCs w:val="22"/>
                <w:lang w:val="en-US" w:eastAsia="zh-CN"/>
              </w:rPr>
              <w:t>（</w:t>
            </w:r>
            <w:r>
              <w:rPr>
                <w:rFonts w:hint="eastAsia" w:ascii="宋体" w:hAnsi="宋体" w:eastAsia="宋体" w:cs="宋体"/>
                <w:b/>
                <w:bCs/>
                <w:snapToGrid/>
                <w:kern w:val="2"/>
                <w:szCs w:val="22"/>
                <w:lang w:eastAsia="zh-CN"/>
              </w:rPr>
              <w:t>提供模块完整安装电路框图截图</w:t>
            </w:r>
            <w:r>
              <w:rPr>
                <w:rFonts w:hint="eastAsia" w:ascii="宋体" w:hAnsi="宋体" w:eastAsia="宋体" w:cs="宋体"/>
                <w:b/>
                <w:bCs/>
                <w:snapToGrid/>
                <w:kern w:val="2"/>
                <w:szCs w:val="22"/>
                <w:lang w:val="en-US" w:eastAsia="zh-CN"/>
              </w:rPr>
              <w:t>证明并加盖投标供应商公章）</w:t>
            </w:r>
          </w:p>
          <w:p w14:paraId="18A0090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内同步信号采用K2K4K6可控硅自身取信号，电路板同步电阻默认380V(300-480)对应150KΩ,其他 电压需要更换同步电阻，公式R=U/380V*150KΩ 3W金属膜。</w:t>
            </w:r>
          </w:p>
          <w:p w14:paraId="4FF3746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K2G2：A相触发进线，取同步信号；</w:t>
            </w:r>
          </w:p>
          <w:p w14:paraId="5AF3A13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K1G1：A相触发出线；</w:t>
            </w:r>
          </w:p>
          <w:p w14:paraId="2F8424D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K4G4：B相触发进线，取同步信号；</w:t>
            </w:r>
          </w:p>
          <w:p w14:paraId="4CAEADD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K3G3：B相触发出线；</w:t>
            </w:r>
          </w:p>
          <w:p w14:paraId="7B36D0B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K6G6：C相触发进线，取同步信号；</w:t>
            </w:r>
          </w:p>
          <w:p w14:paraId="01C7687E">
            <w:pPr>
              <w:widowControl w:val="0"/>
              <w:kinsoku/>
              <w:autoSpaceDE/>
              <w:autoSpaceDN/>
              <w:bidi w:val="0"/>
              <w:adjustRightInd/>
              <w:snapToGrid/>
              <w:spacing w:line="360" w:lineRule="auto"/>
              <w:jc w:val="both"/>
              <w:textAlignment w:val="auto"/>
              <w:rPr>
                <w:rFonts w:hint="eastAsia" w:ascii="宋体" w:hAnsi="宋体" w:eastAsia="宋体" w:cs="宋体"/>
                <w:b/>
                <w:bCs/>
                <w:snapToGrid/>
                <w:kern w:val="2"/>
                <w:szCs w:val="22"/>
                <w:lang w:eastAsia="zh-CN"/>
              </w:rPr>
            </w:pPr>
            <w:r>
              <w:rPr>
                <w:rFonts w:hint="eastAsia" w:ascii="宋体" w:hAnsi="宋体" w:eastAsia="宋体" w:cs="宋体"/>
                <w:snapToGrid/>
                <w:kern w:val="2"/>
                <w:szCs w:val="22"/>
                <w:lang w:val="en-US" w:eastAsia="zh-CN"/>
              </w:rPr>
              <w:t>K5G5：C相触发出线；</w:t>
            </w:r>
          </w:p>
          <w:p w14:paraId="7D94911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5、接线端模块</w:t>
            </w:r>
          </w:p>
          <w:p w14:paraId="50356FF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highlight w:val="yellow"/>
                <w:lang w:val="en-US" w:eastAsia="zh-CN"/>
              </w:rPr>
            </w:pPr>
            <w:r>
              <w:rPr>
                <w:rFonts w:hint="eastAsia" w:ascii="宋体" w:hAnsi="宋体" w:eastAsia="宋体" w:cs="宋体"/>
                <w:snapToGrid/>
                <w:kern w:val="2"/>
                <w:szCs w:val="22"/>
                <w:highlight w:val="none"/>
                <w:lang w:val="en-US" w:eastAsia="zh-CN"/>
              </w:rPr>
              <w:t>5：5V电源输出，用于外接电位器；</w:t>
            </w:r>
          </w:p>
          <w:p w14:paraId="3B990AC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V1：模拟量输入1:  4-20mA输入正（阻抗150Ω)</w:t>
            </w:r>
          </w:p>
          <w:p w14:paraId="566736F5">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V2：模拟量输入2:  0-5V / 0-10V / 电位器（5.1KΩ)</w:t>
            </w:r>
          </w:p>
          <w:p w14:paraId="027660B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G：模拟公共端</w:t>
            </w:r>
          </w:p>
          <w:p w14:paraId="17C8271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RUN：启停控制，常闭运行，常开停止</w:t>
            </w:r>
          </w:p>
          <w:p w14:paraId="110054A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COM：数字公共端</w:t>
            </w:r>
          </w:p>
          <w:p w14:paraId="4E132B9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D1：通道V1切换V2</w:t>
            </w:r>
          </w:p>
          <w:p w14:paraId="23826A5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D2：可编程数字：移相周波切换，恒压恒流切换</w:t>
            </w:r>
          </w:p>
          <w:p w14:paraId="4B5DD75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A：485通讯正端口</w:t>
            </w:r>
          </w:p>
          <w:p w14:paraId="0D8C23D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B：485通讯负端口</w:t>
            </w:r>
          </w:p>
          <w:p w14:paraId="39F6D4D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HI：直流反馈分流器+, 0-75m V  ,隔离</w:t>
            </w:r>
          </w:p>
          <w:p w14:paraId="78CAD4B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HG：直流反馈公共，隔离</w:t>
            </w:r>
          </w:p>
          <w:p w14:paraId="7BA59B0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HV：直流反馈电压+，最大0-800V，隔离</w:t>
            </w:r>
          </w:p>
          <w:p w14:paraId="0F12C4D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K1/K2：故障继电器输出，故障时闭合，输出能力AC220V3A</w:t>
            </w:r>
          </w:p>
          <w:p w14:paraId="78FDD93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N/L：控制电源输入AC220V(AC80-270V, Pmax10W)</w:t>
            </w:r>
          </w:p>
          <w:p w14:paraId="6BF29B2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6、故障模拟模块</w:t>
            </w:r>
          </w:p>
          <w:p w14:paraId="4855551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过流故障：负载功率超出、负载阻值随温度变化、变压器类选型过小；</w:t>
            </w:r>
          </w:p>
          <w:p w14:paraId="1CCAA81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过热故障：风机损坏或堵转、散热器风道积尘、环境温度高；</w:t>
            </w:r>
          </w:p>
          <w:p w14:paraId="29EA55B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频率故障：电网失稳、电源阻抗高、谐波严重超标；</w:t>
            </w:r>
          </w:p>
          <w:p w14:paraId="21B24E3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负载断线：负载断开或接触不良老化、设置参数不合理；</w:t>
            </w:r>
          </w:p>
          <w:p w14:paraId="04C9B1E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过压故障：感性负载突然断开、电网电压升高、负载存在容性；</w:t>
            </w:r>
          </w:p>
          <w:p w14:paraId="37DA1ED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晶闸管故障：检查停止状态输出有电流；</w:t>
            </w:r>
          </w:p>
          <w:p w14:paraId="23BC012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缺相故障：电网无电，断路器内部不良、接线松弛或氧化；</w:t>
            </w:r>
          </w:p>
          <w:p w14:paraId="6046A58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电流不平衡：负载阻值偏差过大,某相老化端子接触不良、电网不稳；</w:t>
            </w:r>
          </w:p>
          <w:p w14:paraId="38962F0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7、调试电路系统</w:t>
            </w:r>
          </w:p>
          <w:p w14:paraId="61FB0FA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1.调试单元模块</w:t>
            </w:r>
          </w:p>
          <w:p w14:paraId="50C425C0">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调试以下单元电路，完成调试报告：</w:t>
            </w:r>
          </w:p>
          <w:p w14:paraId="1B9FCBE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(1)反号器电路调试</w:t>
            </w:r>
          </w:p>
          <w:p w14:paraId="7A1E060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(2)逻辑变换电路调试</w:t>
            </w:r>
          </w:p>
          <w:p w14:paraId="62DFBA0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2.测定特性</w:t>
            </w:r>
          </w:p>
          <w:p w14:paraId="035D1B9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(1)机械特性n=f(Im)的测定</w:t>
            </w:r>
          </w:p>
          <w:p w14:paraId="78499D5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当系统正常运行后，改变给定电压，测出并记录当n分别为1200rpm、800rpm时的正、反转机械特性n=f(IM)</w:t>
            </w:r>
          </w:p>
          <w:p w14:paraId="0F33DE9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(2)闭环控制特性n=f(Ug)的测定</w:t>
            </w:r>
          </w:p>
          <w:p w14:paraId="3FA0CD0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测定并绘制正、反转闭环控制特性曲线。</w:t>
            </w:r>
          </w:p>
          <w:p w14:paraId="503FA76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3.观察系统动态波形</w:t>
            </w:r>
          </w:p>
          <w:p w14:paraId="22C94A8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测量并分析系统动态波形，撰写关于系统参数的变化对系统动、静态性能的影响的分析报告。</w:t>
            </w:r>
          </w:p>
          <w:p w14:paraId="3A26AD2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(1)给定值阶跃变化(正向启动→正向停车→反向启动→反向切换到正向→正向切换到反向→反向停车)时的IM、n的动态波形。</w:t>
            </w:r>
          </w:p>
          <w:p w14:paraId="2185669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(2)改变调节器I和调节器Ⅱ的参数，观察动态波形的变化。</w:t>
            </w:r>
          </w:p>
          <w:p w14:paraId="3608628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8、电工技能与实训仿真教学系统</w:t>
            </w:r>
          </w:p>
          <w:p w14:paraId="7250935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软件分为电工基本常识与操作、电工仪表、照明电路安装、电机与变压器、低压电器、电动机控制、电工识图七大模块，基本覆盖电工技能与实训仿真教学的全部模块。</w:t>
            </w:r>
          </w:p>
          <w:p w14:paraId="22661C1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主要包括以下实训工具、仪器并能实现相应的原理演示与仿真训练：</w:t>
            </w:r>
          </w:p>
          <w:p w14:paraId="592CD91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 xml:space="preserve">1）电工基本常识与操作：安全用电常识、常用电工工具、常用导线连接、手工焊接工艺的基本常识、工具的认知和使用； </w:t>
            </w:r>
          </w:p>
          <w:p w14:paraId="7BE7F50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 xml:space="preserve">2）电工仪表：万用表、电能表、钳形电流表、兆欧表、直流电桥、配电板的仿真训练； </w:t>
            </w:r>
          </w:p>
          <w:p w14:paraId="0219A52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 xml:space="preserve">3）照明电路安装：荧光灯、两地控制灯的3D认知、原理、接线和排故； </w:t>
            </w:r>
          </w:p>
          <w:p w14:paraId="28A9DA1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 xml:space="preserve">4）电机与变压器：三相异步电动机、单相异步电动机、电机电机、步进电机、直流电机、变压器的仿真训练； </w:t>
            </w:r>
          </w:p>
          <w:p w14:paraId="1E1BDE2F">
            <w:pPr>
              <w:widowControl w:val="0"/>
              <w:kinsoku/>
              <w:autoSpaceDE/>
              <w:autoSpaceDN/>
              <w:bidi w:val="0"/>
              <w:adjustRightInd/>
              <w:snapToGrid/>
              <w:spacing w:line="360" w:lineRule="auto"/>
              <w:jc w:val="both"/>
              <w:textAlignment w:val="auto"/>
              <w:rPr>
                <w:rFonts w:hint="eastAsia" w:ascii="宋体" w:hAnsi="宋体" w:eastAsia="宋体" w:cs="宋体"/>
                <w:b/>
                <w:bCs/>
                <w:snapToGrid/>
                <w:kern w:val="2"/>
                <w:szCs w:val="22"/>
                <w:lang w:eastAsia="zh-CN"/>
              </w:rPr>
            </w:pPr>
            <w:r>
              <w:rPr>
                <w:rFonts w:hint="eastAsia" w:ascii="宋体" w:hAnsi="宋体" w:eastAsia="宋体" w:cs="宋体"/>
                <w:snapToGrid/>
                <w:kern w:val="2"/>
                <w:szCs w:val="22"/>
                <w:lang w:eastAsia="zh-CN"/>
              </w:rPr>
              <w:t>▲5）低压电器：交流接触器、继电器、常用闸刀开关、低压断路器、熔断器、启动器、主令电器的仿真训练；</w:t>
            </w:r>
            <w:r>
              <w:rPr>
                <w:rFonts w:hint="eastAsia" w:ascii="宋体" w:hAnsi="宋体" w:eastAsia="宋体" w:cs="宋体"/>
                <w:b/>
                <w:bCs/>
                <w:snapToGrid/>
                <w:kern w:val="2"/>
                <w:szCs w:val="22"/>
                <w:lang w:eastAsia="zh-CN"/>
              </w:rPr>
              <w:t>（提供相应功能截图</w:t>
            </w:r>
            <w:r>
              <w:rPr>
                <w:rFonts w:hint="eastAsia" w:ascii="宋体" w:hAnsi="宋体" w:eastAsia="宋体" w:cs="宋体"/>
                <w:b/>
                <w:bCs/>
                <w:snapToGrid/>
                <w:kern w:val="2"/>
                <w:szCs w:val="22"/>
                <w:lang w:val="en-US" w:eastAsia="zh-CN"/>
              </w:rPr>
              <w:t>证明并加盖投标供应商公章）</w:t>
            </w:r>
          </w:p>
          <w:p w14:paraId="0D3A2B8A">
            <w:pPr>
              <w:widowControl w:val="0"/>
              <w:kinsoku/>
              <w:autoSpaceDE/>
              <w:autoSpaceDN/>
              <w:bidi w:val="0"/>
              <w:adjustRightInd/>
              <w:snapToGrid/>
              <w:spacing w:line="360" w:lineRule="auto"/>
              <w:jc w:val="both"/>
              <w:textAlignment w:val="auto"/>
              <w:rPr>
                <w:rFonts w:hint="eastAsia" w:ascii="宋体" w:hAnsi="宋体" w:eastAsia="宋体" w:cs="宋体"/>
                <w:b/>
                <w:bCs/>
                <w:snapToGrid/>
                <w:kern w:val="2"/>
                <w:szCs w:val="22"/>
                <w:lang w:eastAsia="zh-CN"/>
              </w:rPr>
            </w:pPr>
            <w:r>
              <w:rPr>
                <w:rFonts w:hint="eastAsia" w:ascii="宋体" w:hAnsi="宋体" w:eastAsia="宋体" w:cs="宋体"/>
                <w:snapToGrid/>
                <w:kern w:val="2"/>
                <w:szCs w:val="22"/>
                <w:lang w:eastAsia="zh-CN"/>
              </w:rPr>
              <w:t>▲6）电动机控制：有过载保护运转控制、联动控制、行程控制、自耦降压起动、接触器Y△起动、时间继电器Y△起动、机械制动、反接制动、能耗制动、双速调速、电动葫芦、绕线式电动机起动控制、车床控制、磨床控制、钻床控制、直流调速、直流制动、直流正反转等仿真训练；</w:t>
            </w:r>
            <w:r>
              <w:rPr>
                <w:rFonts w:hint="eastAsia" w:ascii="宋体" w:hAnsi="宋体" w:eastAsia="宋体" w:cs="宋体"/>
                <w:b/>
                <w:bCs/>
                <w:snapToGrid/>
                <w:kern w:val="2"/>
                <w:szCs w:val="22"/>
                <w:lang w:eastAsia="zh-CN"/>
              </w:rPr>
              <w:t>（提供相应功能截图</w:t>
            </w:r>
            <w:r>
              <w:rPr>
                <w:rFonts w:hint="eastAsia" w:ascii="宋体" w:hAnsi="宋体" w:eastAsia="宋体" w:cs="宋体"/>
                <w:b/>
                <w:bCs/>
                <w:snapToGrid/>
                <w:kern w:val="2"/>
                <w:szCs w:val="22"/>
                <w:lang w:val="en-US" w:eastAsia="zh-CN"/>
              </w:rPr>
              <w:t>证明并加盖投标供应商公章）</w:t>
            </w:r>
          </w:p>
          <w:p w14:paraId="6F8F504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▲7）电工识图：图形符号的认知和说明、原理图的绘制原则等说明、接线图的绘制原则等说明；</w:t>
            </w:r>
            <w:r>
              <w:rPr>
                <w:rFonts w:hint="eastAsia" w:ascii="宋体" w:hAnsi="宋体" w:eastAsia="宋体" w:cs="宋体"/>
                <w:b/>
                <w:bCs/>
                <w:snapToGrid/>
                <w:kern w:val="2"/>
                <w:szCs w:val="22"/>
                <w:lang w:eastAsia="zh-CN"/>
              </w:rPr>
              <w:t>（提供相应功能截图</w:t>
            </w:r>
            <w:r>
              <w:rPr>
                <w:rFonts w:hint="eastAsia" w:ascii="宋体" w:hAnsi="宋体" w:eastAsia="宋体" w:cs="宋体"/>
                <w:b/>
                <w:bCs/>
                <w:snapToGrid/>
                <w:kern w:val="2"/>
                <w:szCs w:val="22"/>
                <w:lang w:val="en-US" w:eastAsia="zh-CN"/>
              </w:rPr>
              <w:t>证明并加盖投标供应商公章）</w:t>
            </w:r>
          </w:p>
          <w:p w14:paraId="362EB71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▲9、万用表仿真软件</w:t>
            </w:r>
          </w:p>
          <w:p w14:paraId="6C36FF8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highlight w:val="none"/>
                <w:lang w:eastAsia="zh-CN"/>
              </w:rPr>
            </w:pPr>
            <w:r>
              <w:rPr>
                <w:rFonts w:hint="eastAsia" w:ascii="宋体" w:hAnsi="宋体" w:eastAsia="宋体" w:cs="宋体"/>
                <w:snapToGrid/>
                <w:kern w:val="2"/>
                <w:szCs w:val="22"/>
                <w:lang w:val="en-US" w:eastAsia="zh-CN"/>
              </w:rPr>
              <w:t>1）</w:t>
            </w:r>
            <w:r>
              <w:rPr>
                <w:rFonts w:hint="eastAsia" w:ascii="宋体" w:hAnsi="宋体" w:eastAsia="宋体" w:cs="宋体"/>
                <w:snapToGrid/>
                <w:kern w:val="2"/>
                <w:szCs w:val="22"/>
                <w:lang w:eastAsia="zh-CN"/>
              </w:rPr>
              <w:t>电阻的测量、交流电压的测量（测量变压器，若变压器测量烧坏多用表时，冒黑烟提示并可以重置多用表）、晶体管的极性判断、直流电压测量（通电流表档时灯光亮）、直流电流的测量、以及电容好坏的判断</w:t>
            </w:r>
            <w:r>
              <w:rPr>
                <w:rFonts w:hint="eastAsia" w:ascii="宋体" w:hAnsi="宋体" w:eastAsia="宋体" w:cs="宋体"/>
                <w:snapToGrid/>
                <w:kern w:val="2"/>
                <w:szCs w:val="22"/>
                <w:highlight w:val="none"/>
                <w:lang w:eastAsia="zh-CN"/>
              </w:rPr>
              <w:t>。</w:t>
            </w:r>
            <w:r>
              <w:rPr>
                <w:rFonts w:hint="eastAsia" w:ascii="宋体" w:hAnsi="宋体" w:eastAsia="宋体" w:cs="宋体"/>
                <w:b/>
                <w:bCs/>
                <w:snapToGrid/>
                <w:kern w:val="2"/>
                <w:szCs w:val="22"/>
                <w:highlight w:val="none"/>
                <w:lang w:eastAsia="zh-CN"/>
              </w:rPr>
              <w:t>（提供相应功能截图</w:t>
            </w:r>
            <w:r>
              <w:rPr>
                <w:rFonts w:hint="eastAsia" w:ascii="宋体" w:hAnsi="宋体" w:eastAsia="宋体" w:cs="宋体"/>
                <w:b/>
                <w:bCs/>
                <w:snapToGrid/>
                <w:kern w:val="2"/>
                <w:szCs w:val="22"/>
                <w:highlight w:val="none"/>
                <w:lang w:val="en-US" w:eastAsia="zh-CN"/>
              </w:rPr>
              <w:t>证明并加盖投标供应商公章）</w:t>
            </w:r>
          </w:p>
          <w:p w14:paraId="6095B2E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2）</w:t>
            </w:r>
            <w:r>
              <w:rPr>
                <w:rFonts w:hint="eastAsia" w:ascii="宋体" w:hAnsi="宋体" w:eastAsia="宋体" w:cs="宋体"/>
                <w:snapToGrid/>
                <w:kern w:val="2"/>
                <w:szCs w:val="22"/>
                <w:lang w:eastAsia="zh-CN"/>
              </w:rPr>
              <w:t>软件可任意拖动红色与黑色笔头，2个笔头拖拽至被测物体上定位时显示红圈，如未定位准确无红圈显示，并在进行错误操作的时（如所选量程错误、所测数据错误等等），仪表指针将无反应、提示错误重新测量等，本多用表可选择交流电压档，直流电压档，电阻档，电流档，电阻调0，并且可放大显示数据，可清楚观看所测数据大小。</w:t>
            </w:r>
            <w:r>
              <w:rPr>
                <w:rFonts w:hint="eastAsia" w:ascii="宋体" w:hAnsi="宋体" w:eastAsia="宋体" w:cs="宋体"/>
                <w:b/>
                <w:bCs/>
                <w:snapToGrid/>
                <w:kern w:val="2"/>
                <w:szCs w:val="22"/>
                <w:lang w:eastAsia="zh-CN"/>
              </w:rPr>
              <w:t>（提供相应功能截图</w:t>
            </w:r>
            <w:r>
              <w:rPr>
                <w:rFonts w:hint="eastAsia" w:ascii="宋体" w:hAnsi="宋体" w:eastAsia="宋体" w:cs="宋体"/>
                <w:b/>
                <w:bCs/>
                <w:snapToGrid/>
                <w:kern w:val="2"/>
                <w:szCs w:val="22"/>
                <w:lang w:val="en-US" w:eastAsia="zh-CN"/>
              </w:rPr>
              <w:t>证明并加盖投标供应商公章）</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6E457927">
            <w:pPr>
              <w:widowControl w:val="0"/>
              <w:kinsoku/>
              <w:autoSpaceDE/>
              <w:autoSpaceDN/>
              <w:adjustRightInd/>
              <w:snapToGrid/>
              <w:spacing w:after="160" w:line="278"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2</w:t>
            </w:r>
          </w:p>
        </w:tc>
      </w:tr>
      <w:tr w14:paraId="466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23912AF4">
            <w:pPr>
              <w:widowControl w:val="0"/>
              <w:kinsoku/>
              <w:autoSpaceDE/>
              <w:autoSpaceDN/>
              <w:adjustRightInd/>
              <w:snapToGrid/>
              <w:spacing w:after="160" w:line="278" w:lineRule="auto"/>
              <w:jc w:val="center"/>
              <w:textAlignment w:val="auto"/>
              <w:rPr>
                <w:rFonts w:hint="eastAsia" w:ascii="宋体" w:hAnsi="宋体" w:eastAsia="宋体" w:cs="宋体"/>
                <w:b/>
                <w:bCs/>
                <w:snapToGrid/>
                <w:kern w:val="2"/>
                <w:sz w:val="21"/>
                <w:szCs w:val="21"/>
                <w:lang w:eastAsia="zh-CN"/>
              </w:rPr>
            </w:pPr>
            <w:r>
              <w:rPr>
                <w:rFonts w:hint="eastAsia" w:ascii="宋体" w:hAnsi="宋体" w:eastAsia="宋体" w:cs="宋体"/>
                <w:b/>
                <w:bCs/>
                <w:snapToGrid/>
                <w:kern w:val="2"/>
                <w:sz w:val="21"/>
                <w:szCs w:val="21"/>
                <w:lang w:eastAsia="zh-CN"/>
              </w:rPr>
              <w:t>2</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3F0FBACA">
            <w:pPr>
              <w:widowControl w:val="0"/>
              <w:kinsoku/>
              <w:autoSpaceDE/>
              <w:autoSpaceDN/>
              <w:adjustRightInd/>
              <w:snapToGrid/>
              <w:spacing w:after="160" w:line="278"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四旋翼无人机安装与调试排故模块</w:t>
            </w:r>
          </w:p>
        </w:tc>
        <w:tc>
          <w:tcPr>
            <w:tcW w:w="3668" w:type="pct"/>
            <w:tcBorders>
              <w:top w:val="single" w:color="auto" w:sz="4" w:space="0"/>
              <w:left w:val="single" w:color="auto" w:sz="4" w:space="0"/>
              <w:bottom w:val="single" w:color="auto" w:sz="4" w:space="0"/>
              <w:right w:val="single" w:color="auto" w:sz="4" w:space="0"/>
            </w:tcBorders>
            <w:noWrap w:val="0"/>
            <w:vAlign w:val="center"/>
          </w:tcPr>
          <w:p w14:paraId="1BA0A10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1、输入电源：AC220V，50HZ，带短路保护；</w:t>
            </w:r>
          </w:p>
          <w:p w14:paraId="1848635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2、工作环境温度：-10～55℃；相对湿＜85%(25℃)；</w:t>
            </w:r>
          </w:p>
          <w:p w14:paraId="799BF60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3、实训箱外形尺寸（长×宽×高）：≥550mm×350mm×160mm；</w:t>
            </w:r>
          </w:p>
          <w:p w14:paraId="17EAF515">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4、飞控模块</w:t>
            </w:r>
          </w:p>
          <w:p w14:paraId="7FCAF0F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1）先进的32位ARMCortexM4高性能处理器，可运行NuttXRTOS实时操作系统；</w:t>
            </w:r>
          </w:p>
          <w:p w14:paraId="09DB3C3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≥14个PWM/舵机输出；</w:t>
            </w:r>
          </w:p>
          <w:p w14:paraId="5CE1522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2）总线接口(UART,I2C,SPI,CAN)；</w:t>
            </w:r>
          </w:p>
          <w:p w14:paraId="5E12CA5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3）集成备份电源和失效备份控制器，主控制器失效时可安全切换到备份控制；</w:t>
            </w:r>
          </w:p>
          <w:p w14:paraId="1FB335F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4）提供自动和手动模式；</w:t>
            </w:r>
          </w:p>
          <w:p w14:paraId="56B3F72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5）提供冗余电源输入和故障转移功能；</w:t>
            </w:r>
          </w:p>
          <w:p w14:paraId="4A68202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6）多色LED灯；</w:t>
            </w:r>
          </w:p>
          <w:p w14:paraId="5B711C4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7）多音蜂鸣器接口；</w:t>
            </w:r>
          </w:p>
          <w:p w14:paraId="7F0D685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8）MicroSD记录飞行数据；</w:t>
            </w:r>
          </w:p>
          <w:p w14:paraId="676CFA7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5、GPS模块</w:t>
            </w:r>
          </w:p>
          <w:p w14:paraId="39CEB87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1）串口特性：波特率范围:4800bps～115200bps，默认9600bps8个数据位,无校验,1个停止位；</w:t>
            </w:r>
          </w:p>
          <w:p w14:paraId="2E9E769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2）协议最大：NMEA0183；</w:t>
            </w:r>
          </w:p>
          <w:p w14:paraId="28A608E0">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3）高度：≥18000m；</w:t>
            </w:r>
          </w:p>
          <w:p w14:paraId="1A73922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4）最大速度：515m/s；</w:t>
            </w:r>
          </w:p>
          <w:p w14:paraId="0D19A2E5">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5）最大加速度：4g；</w:t>
            </w:r>
          </w:p>
          <w:p w14:paraId="3D6F64B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6）电源供电：5V；</w:t>
            </w:r>
          </w:p>
          <w:p w14:paraId="73EBA4B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7）工作温度：-40～+85摄氏度；</w:t>
            </w:r>
          </w:p>
          <w:p w14:paraId="7C12428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8）接口定义：红5V、黑GND、黄RX、绿T、橙SCL、日SDA；</w:t>
            </w:r>
          </w:p>
          <w:p w14:paraId="34C1EAF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6、电流计传感器电源模块</w:t>
            </w:r>
          </w:p>
          <w:p w14:paraId="511794C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1）</w:t>
            </w:r>
            <w:r>
              <w:rPr>
                <w:rFonts w:hint="eastAsia" w:ascii="宋体" w:hAnsi="宋体" w:eastAsia="宋体" w:cs="宋体"/>
                <w:snapToGrid/>
                <w:kern w:val="2"/>
                <w:szCs w:val="22"/>
                <w:lang w:eastAsia="zh-CN"/>
              </w:rPr>
              <w:t>带BEC供电模块；</w:t>
            </w:r>
          </w:p>
          <w:p w14:paraId="59E1FC2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highlight w:val="none"/>
                <w:lang w:eastAsia="zh-CN"/>
              </w:rPr>
            </w:pPr>
            <w:r>
              <w:rPr>
                <w:rFonts w:hint="eastAsia" w:ascii="宋体" w:hAnsi="宋体" w:eastAsia="宋体" w:cs="宋体"/>
                <w:snapToGrid/>
                <w:kern w:val="2"/>
                <w:szCs w:val="22"/>
                <w:lang w:eastAsia="zh-CN"/>
              </w:rPr>
              <w:t>▲7、智慧充电模块</w:t>
            </w:r>
            <w:r>
              <w:rPr>
                <w:rFonts w:hint="eastAsia" w:ascii="宋体" w:hAnsi="宋体" w:eastAsia="宋体" w:cs="宋体"/>
                <w:b/>
                <w:bCs/>
                <w:snapToGrid/>
                <w:kern w:val="2"/>
                <w:szCs w:val="22"/>
                <w:highlight w:val="none"/>
                <w:lang w:eastAsia="zh-CN"/>
              </w:rPr>
              <w:t>（提供完整模块不少于7种工作状态显示截图</w:t>
            </w:r>
            <w:r>
              <w:rPr>
                <w:rFonts w:hint="eastAsia" w:ascii="宋体" w:hAnsi="宋体" w:eastAsia="宋体" w:cs="宋体"/>
                <w:b/>
                <w:bCs/>
                <w:snapToGrid/>
                <w:kern w:val="2"/>
                <w:szCs w:val="22"/>
                <w:lang w:val="en-US" w:eastAsia="zh-CN"/>
              </w:rPr>
              <w:t>证明</w:t>
            </w:r>
            <w:r>
              <w:rPr>
                <w:rFonts w:hint="eastAsia" w:ascii="宋体" w:hAnsi="宋体" w:eastAsia="宋体" w:cs="宋体"/>
                <w:b/>
                <w:bCs/>
                <w:snapToGrid/>
                <w:kern w:val="2"/>
                <w:szCs w:val="22"/>
                <w:highlight w:val="none"/>
                <w:lang w:eastAsia="zh-CN"/>
              </w:rPr>
              <w:t>并加盖投标供应商公章）</w:t>
            </w:r>
          </w:p>
          <w:p w14:paraId="5D00832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1）输入电压：AC100～240V/DC6.5～30V;</w:t>
            </w:r>
          </w:p>
          <w:p w14:paraId="6F7B287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2）充电电流：0.1A～15A×2;</w:t>
            </w:r>
          </w:p>
          <w:p w14:paraId="2F01DA1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3）充电功率：DC325W×2/AC200W(自动分配);</w:t>
            </w:r>
          </w:p>
          <w:p w14:paraId="0F9BAE6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4）放电功率：内部放电:15Wx2(平衡口10Wx2)/外部放电:325Wx2(650W);</w:t>
            </w:r>
          </w:p>
          <w:p w14:paraId="7513D09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5）电池类型:LiHv/LiPo/LiFe/Lilon/Lixx:1～6S；NiZn/Nicd/NiMH:1～16S；SmartBattery:1～6；SLeadAcid(Pb):2～24V；Enelop:1～16S；</w:t>
            </w:r>
          </w:p>
          <w:p w14:paraId="239380A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6）平衡电流:最大1600mAx2;</w:t>
            </w:r>
          </w:p>
          <w:p w14:paraId="7DA9952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7）放电电流:0.1～3Ax2；</w:t>
            </w:r>
          </w:p>
          <w:p w14:paraId="60EE16C5">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8）外部放电电流:1～15Ax2；</w:t>
            </w:r>
          </w:p>
          <w:p w14:paraId="67517E7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9）USB输出口：5V/2.1A；</w:t>
            </w:r>
          </w:p>
          <w:p w14:paraId="0AB0F61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10）存储温度：-20～60°C；</w:t>
            </w:r>
          </w:p>
          <w:p w14:paraId="40675100">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11）工作温度：0～40°C；</w:t>
            </w:r>
          </w:p>
          <w:p w14:paraId="4E12579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12）显示屏尺寸：2.8"320x24026万色；</w:t>
            </w:r>
          </w:p>
          <w:p w14:paraId="2E0BA1F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8、显示屏触控笔</w:t>
            </w:r>
          </w:p>
          <w:p w14:paraId="142087D3">
            <w:pPr>
              <w:widowControl w:val="0"/>
              <w:numPr>
                <w:ilvl w:val="0"/>
                <w:numId w:val="1"/>
              </w:numPr>
              <w:kinsoku/>
              <w:autoSpaceDE/>
              <w:autoSpaceDN/>
              <w:bidi w:val="0"/>
              <w:adjustRightInd/>
              <w:snapToGrid/>
              <w:spacing w:line="360" w:lineRule="auto"/>
              <w:jc w:val="both"/>
              <w:textAlignment w:val="auto"/>
              <w:rPr>
                <w:rFonts w:hint="eastAsia" w:ascii="宋体" w:hAnsi="宋体" w:eastAsia="宋体" w:cs="宋体"/>
                <w:b/>
                <w:bCs/>
                <w:snapToGrid/>
                <w:kern w:val="2"/>
                <w:szCs w:val="22"/>
                <w:highlight w:val="none"/>
                <w:lang w:val="en-US" w:eastAsia="zh-CN"/>
              </w:rPr>
            </w:pPr>
            <w:r>
              <w:rPr>
                <w:rFonts w:hint="eastAsia" w:ascii="宋体" w:hAnsi="宋体" w:eastAsia="宋体" w:cs="宋体"/>
                <w:snapToGrid/>
                <w:kern w:val="2"/>
                <w:szCs w:val="22"/>
                <w:lang w:val="en-US" w:eastAsia="zh-CN"/>
              </w:rPr>
              <w:t>外观：笔身造型采用圆润一体化笔型设计，表面采用手感漆工艺便于握持；▲2）笔身配置不少于五个按键，具备上下翻页，智</w:t>
            </w:r>
            <w:r>
              <w:rPr>
                <w:rFonts w:hint="eastAsia" w:ascii="宋体" w:hAnsi="宋体" w:eastAsia="宋体" w:cs="宋体"/>
                <w:snapToGrid/>
                <w:kern w:val="2"/>
                <w:szCs w:val="22"/>
                <w:highlight w:val="none"/>
                <w:lang w:val="en-US" w:eastAsia="zh-CN"/>
              </w:rPr>
              <w:t>能语音，远程聚光灯/放大，书写颜色切换，兼顾触摸书写以及远程操控的握持姿态；</w:t>
            </w:r>
            <w:r>
              <w:rPr>
                <w:rFonts w:hint="eastAsia" w:ascii="宋体" w:hAnsi="宋体" w:eastAsia="宋体" w:cs="宋体"/>
                <w:b/>
                <w:bCs/>
                <w:snapToGrid/>
                <w:kern w:val="2"/>
                <w:szCs w:val="22"/>
                <w:highlight w:val="none"/>
                <w:lang w:val="en-US" w:eastAsia="zh-CN"/>
              </w:rPr>
              <w:t>（提供CNAS或CMA认证的检验中心所出具的权威检测报告复印件并加盖投标供应商公章）</w:t>
            </w:r>
          </w:p>
          <w:p w14:paraId="034AFB30">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b/>
                <w:bCs/>
                <w:snapToGrid/>
                <w:kern w:val="2"/>
                <w:szCs w:val="22"/>
                <w:highlight w:val="none"/>
                <w:lang w:val="en-US" w:eastAsia="zh-CN"/>
              </w:rPr>
            </w:pPr>
            <w:r>
              <w:rPr>
                <w:rFonts w:hint="eastAsia" w:ascii="宋体" w:hAnsi="宋体" w:eastAsia="宋体" w:cs="宋体"/>
                <w:snapToGrid/>
                <w:kern w:val="2"/>
                <w:szCs w:val="22"/>
                <w:highlight w:val="none"/>
                <w:lang w:val="en-US" w:eastAsia="zh-CN"/>
              </w:rPr>
              <w:t>▲3）语音：支持白板软件内，通过语音控制：切换书写、擦除、选择模式，最小化返回桌面，打开板中板，清空书写批注等操作；</w:t>
            </w:r>
            <w:r>
              <w:rPr>
                <w:rFonts w:hint="eastAsia" w:ascii="宋体" w:hAnsi="宋体" w:eastAsia="宋体" w:cs="宋体"/>
                <w:b/>
                <w:bCs/>
                <w:snapToGrid/>
                <w:kern w:val="2"/>
                <w:szCs w:val="22"/>
                <w:highlight w:val="none"/>
                <w:lang w:val="en-US" w:eastAsia="zh-CN"/>
              </w:rPr>
              <w:t>（提供CNAS或CMA认证的检验中心所出具的权威检测报告复印件并加盖投标供应商公章）</w:t>
            </w:r>
          </w:p>
          <w:p w14:paraId="0EE1BD4B">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b/>
                <w:bCs/>
                <w:snapToGrid/>
                <w:kern w:val="2"/>
                <w:szCs w:val="22"/>
                <w:highlight w:val="none"/>
                <w:lang w:val="en-US" w:eastAsia="zh-CN"/>
              </w:rPr>
            </w:pPr>
            <w:r>
              <w:rPr>
                <w:rFonts w:hint="eastAsia" w:ascii="宋体" w:hAnsi="宋体" w:eastAsia="宋体" w:cs="宋体"/>
                <w:snapToGrid/>
                <w:kern w:val="2"/>
                <w:szCs w:val="22"/>
                <w:highlight w:val="none"/>
                <w:lang w:val="en-US" w:eastAsia="zh-CN"/>
              </w:rPr>
              <w:t>▲4）无线：为保障用户在不同场景使用智能笔，支持无线dongle及蓝牙两种连接方式，支持蓝牙5.1协议；</w:t>
            </w:r>
            <w:r>
              <w:rPr>
                <w:rFonts w:hint="eastAsia" w:ascii="宋体" w:hAnsi="宋体" w:eastAsia="宋体" w:cs="宋体"/>
                <w:b/>
                <w:bCs/>
                <w:snapToGrid/>
                <w:kern w:val="2"/>
                <w:szCs w:val="22"/>
                <w:highlight w:val="none"/>
                <w:lang w:val="en-US" w:eastAsia="zh-CN"/>
              </w:rPr>
              <w:t>（提供CNAS或CMA认证的检验中心所出具的权威检测报告复印件并加盖投标供应商公章）</w:t>
            </w:r>
          </w:p>
          <w:p w14:paraId="46078CE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highlight w:val="none"/>
                <w:lang w:val="en-US" w:eastAsia="zh-CN"/>
              </w:rPr>
            </w:pPr>
            <w:r>
              <w:rPr>
                <w:rFonts w:hint="eastAsia" w:ascii="宋体" w:hAnsi="宋体" w:eastAsia="宋体" w:cs="宋体"/>
                <w:snapToGrid/>
                <w:kern w:val="2"/>
                <w:szCs w:val="22"/>
                <w:highlight w:val="none"/>
                <w:lang w:val="en-US" w:eastAsia="zh-CN"/>
              </w:rPr>
              <w:t>5）外形尺寸：108mmx105mmx76mm；</w:t>
            </w:r>
          </w:p>
          <w:p w14:paraId="1FC47E2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6）</w:t>
            </w:r>
            <w:r>
              <w:rPr>
                <w:rFonts w:hint="eastAsia" w:ascii="宋体" w:hAnsi="宋体" w:eastAsia="宋体" w:cs="宋体"/>
                <w:snapToGrid/>
                <w:kern w:val="2"/>
                <w:szCs w:val="22"/>
                <w:lang w:eastAsia="zh-CN"/>
              </w:rPr>
              <w:t>净重：555g；</w:t>
            </w:r>
          </w:p>
          <w:p w14:paraId="777ED3B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9</w:t>
            </w:r>
            <w:r>
              <w:rPr>
                <w:rFonts w:hint="eastAsia" w:ascii="宋体" w:hAnsi="宋体" w:eastAsia="宋体" w:cs="宋体"/>
                <w:snapToGrid/>
                <w:kern w:val="2"/>
                <w:szCs w:val="22"/>
                <w:lang w:eastAsia="zh-CN"/>
              </w:rPr>
              <w:t>、无人机故障模拟模块</w:t>
            </w:r>
          </w:p>
          <w:p w14:paraId="57A2927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1）M1电机：转向故障/缺相故障/信号故障/供电故障；</w:t>
            </w:r>
          </w:p>
          <w:p w14:paraId="19E01B0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2）M2电机：转向故障/缺相故障/信号故障/供电故障；</w:t>
            </w:r>
          </w:p>
          <w:p w14:paraId="665BA72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3）M3电机：转向故障/缺相故障/信号故障/供电故障；</w:t>
            </w:r>
          </w:p>
          <w:p w14:paraId="342F87F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4）M4电机：转向故障/缺相故障/信号故障/供电故障；</w:t>
            </w:r>
          </w:p>
          <w:p w14:paraId="1AA87456">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5）分电板故障；</w:t>
            </w:r>
          </w:p>
          <w:p w14:paraId="4D33429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6）动力供电故障；</w:t>
            </w:r>
          </w:p>
          <w:p w14:paraId="19FC5E4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7）信号接收故障；</w:t>
            </w:r>
          </w:p>
          <w:p w14:paraId="640C51C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8）各机臂上电调的供电故障测试；</w:t>
            </w:r>
          </w:p>
          <w:p w14:paraId="42AF32F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9）GPS线路通断测试；</w:t>
            </w:r>
          </w:p>
          <w:p w14:paraId="6CB502B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10）飞控供电故障；</w:t>
            </w:r>
          </w:p>
          <w:p w14:paraId="1C944AC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w:t>
            </w:r>
            <w:r>
              <w:rPr>
                <w:rFonts w:hint="eastAsia" w:ascii="宋体" w:hAnsi="宋体" w:eastAsia="宋体" w:cs="宋体"/>
                <w:snapToGrid/>
                <w:kern w:val="2"/>
                <w:szCs w:val="22"/>
                <w:lang w:val="en-US" w:eastAsia="zh-CN"/>
              </w:rPr>
              <w:t>10</w:t>
            </w:r>
            <w:r>
              <w:rPr>
                <w:rFonts w:hint="eastAsia" w:ascii="宋体" w:hAnsi="宋体" w:eastAsia="宋体" w:cs="宋体"/>
                <w:snapToGrid/>
                <w:kern w:val="2"/>
                <w:szCs w:val="22"/>
                <w:lang w:eastAsia="zh-CN"/>
              </w:rPr>
              <w:t>、实训项目</w:t>
            </w:r>
          </w:p>
          <w:p w14:paraId="30F19A6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b/>
                <w:bCs/>
                <w:snapToGrid/>
                <w:kern w:val="2"/>
                <w:szCs w:val="22"/>
                <w:lang w:eastAsia="zh-CN"/>
              </w:rPr>
              <w:t>（提供以下实训项目完整安装与调试操作手册截图</w:t>
            </w:r>
            <w:r>
              <w:rPr>
                <w:rFonts w:hint="eastAsia" w:ascii="宋体" w:hAnsi="宋体" w:eastAsia="宋体" w:cs="宋体"/>
                <w:b/>
                <w:bCs/>
                <w:snapToGrid/>
                <w:kern w:val="2"/>
                <w:szCs w:val="22"/>
                <w:lang w:val="en-US" w:eastAsia="zh-CN"/>
              </w:rPr>
              <w:t>证明并加盖投标供应商公章</w:t>
            </w:r>
            <w:r>
              <w:rPr>
                <w:rFonts w:hint="eastAsia" w:ascii="宋体" w:hAnsi="宋体" w:eastAsia="宋体" w:cs="宋体"/>
                <w:b/>
                <w:bCs/>
                <w:snapToGrid/>
                <w:kern w:val="2"/>
                <w:szCs w:val="22"/>
                <w:lang w:eastAsia="zh-CN"/>
              </w:rPr>
              <w:t>）</w:t>
            </w:r>
          </w:p>
          <w:p w14:paraId="5A2E6DE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1）框架搭建与重心测定</w:t>
            </w:r>
          </w:p>
          <w:p w14:paraId="7D82056F">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2）电机安装与螺旋桨固定</w:t>
            </w:r>
          </w:p>
          <w:p w14:paraId="141C756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3）电调调试与参数设置</w:t>
            </w:r>
          </w:p>
          <w:p w14:paraId="3168E10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4）飞控器配置与传感器校准</w:t>
            </w:r>
          </w:p>
          <w:p w14:paraId="2476247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5）PID参数调节与飞行性能优化</w:t>
            </w:r>
          </w:p>
          <w:p w14:paraId="7549A55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11、电机调整平台软件</w:t>
            </w:r>
          </w:p>
          <w:p w14:paraId="0644E5C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1）软件界面较多，用户主要通过在软件左侧窗口导航界面中选择单击不同树形节点实现各界面的切换。通过文件夹结构，可以迅速的寻找目标和进行便捷的浏览。</w:t>
            </w:r>
          </w:p>
          <w:p w14:paraId="696EA5A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2）窗口导航：窗口导航界面固定在屏幕左侧区域，也可关闭，当鼠标移动到左侧区域时显示。窗口导航的关闭可通过右击窗口导航表头后弹出的右键菜单来选择实现（工具条的打开或关闭操作同上）。</w:t>
            </w:r>
          </w:p>
          <w:p w14:paraId="2D43C077">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▲12、起始页界面</w:t>
            </w:r>
          </w:p>
          <w:p w14:paraId="7F366647">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b/>
                <w:bCs/>
                <w:snapToGrid/>
                <w:kern w:val="2"/>
                <w:szCs w:val="22"/>
                <w:lang w:val="en-US" w:eastAsia="zh-CN"/>
              </w:rPr>
            </w:pPr>
            <w:r>
              <w:rPr>
                <w:rFonts w:hint="eastAsia" w:ascii="宋体" w:hAnsi="宋体" w:eastAsia="宋体" w:cs="宋体"/>
                <w:snapToGrid/>
                <w:kern w:val="2"/>
                <w:szCs w:val="22"/>
                <w:lang w:val="en-US" w:eastAsia="zh-CN"/>
              </w:rPr>
              <w:t>起始页主要设置信息为版本信息与连接信息。电机驱动器版本信息根据电机驱动器实际版本信息设置。连接设置分为三步：第一步选择连接方式（目前仅提供串口通讯）；第二步选择串口通讯端口与波特率；第三步点击连接按钮与电机驱动器建立连接，连接成功后，连接按钮变为断开连接按钮。</w:t>
            </w:r>
            <w:r>
              <w:rPr>
                <w:rFonts w:hint="eastAsia" w:ascii="宋体" w:hAnsi="宋体" w:eastAsia="宋体" w:cs="宋体"/>
                <w:b/>
                <w:bCs/>
                <w:snapToGrid/>
                <w:kern w:val="2"/>
                <w:szCs w:val="22"/>
                <w:lang w:val="en-US" w:eastAsia="zh-CN"/>
              </w:rPr>
              <w:t>（提供相应功能截图证明并加盖投标供应商公章）</w:t>
            </w:r>
          </w:p>
          <w:p w14:paraId="79178981">
            <w:pPr>
              <w:widowControl w:val="0"/>
              <w:numPr>
                <w:ilvl w:val="0"/>
                <w:numId w:val="0"/>
              </w:numPr>
              <w:kinsoku/>
              <w:autoSpaceDE/>
              <w:autoSpaceDN/>
              <w:bidi w:val="0"/>
              <w:adjustRightInd/>
              <w:snapToGrid/>
              <w:spacing w:line="360" w:lineRule="auto"/>
              <w:ind w:leftChars="0"/>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13、设置界面</w:t>
            </w:r>
          </w:p>
          <w:p w14:paraId="098C404C">
            <w:pPr>
              <w:widowControl w:val="0"/>
              <w:numPr>
                <w:ilvl w:val="0"/>
                <w:numId w:val="0"/>
              </w:numPr>
              <w:kinsoku/>
              <w:autoSpaceDE/>
              <w:autoSpaceDN/>
              <w:bidi w:val="0"/>
              <w:adjustRightInd/>
              <w:snapToGrid/>
              <w:spacing w:line="360" w:lineRule="auto"/>
              <w:ind w:leftChars="0"/>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电机参数界面显示电机的各参数，标准电机厂商和电机型号可供用户选择，自定义电机参数可供用户编辑修改。</w:t>
            </w:r>
          </w:p>
          <w:p w14:paraId="5B348534">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14、限幅界面</w:t>
            </w:r>
          </w:p>
          <w:p w14:paraId="7FBDED12">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用于电机的电流限幅以及速度限幅参数的参数读取。</w:t>
            </w:r>
          </w:p>
          <w:p w14:paraId="4E9E6D1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▲15、电流环界面</w:t>
            </w:r>
          </w:p>
          <w:p w14:paraId="58D14F4D">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界面中的标签页提供了可以修改的参数。当前显示的标签页对应控制环中的部分会标识出来，在其图片周围显示一圈不同的颜色。标签页的切换可以直接单击标签头，也可单击控制环中对应部分，鼠标移动过程中变为手型的部分可点。（</w:t>
            </w:r>
            <w:r>
              <w:rPr>
                <w:rFonts w:hint="eastAsia" w:ascii="宋体" w:hAnsi="宋体" w:eastAsia="宋体" w:cs="宋体"/>
                <w:b/>
                <w:bCs/>
                <w:snapToGrid/>
                <w:kern w:val="2"/>
                <w:szCs w:val="22"/>
                <w:lang w:val="en-US" w:eastAsia="zh-CN"/>
              </w:rPr>
              <w:t>提供相应功能截图证明并加盖投标供应商公章</w:t>
            </w:r>
            <w:r>
              <w:rPr>
                <w:rFonts w:hint="eastAsia" w:ascii="宋体" w:hAnsi="宋体" w:eastAsia="宋体" w:cs="宋体"/>
                <w:snapToGrid/>
                <w:kern w:val="2"/>
                <w:szCs w:val="22"/>
                <w:lang w:val="en-US" w:eastAsia="zh-CN"/>
              </w:rPr>
              <w:t>）</w:t>
            </w:r>
          </w:p>
          <w:p w14:paraId="6CDEFF7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▲16、速度环界面</w:t>
            </w:r>
          </w:p>
          <w:p w14:paraId="0EC23204">
            <w:pPr>
              <w:widowControl w:val="0"/>
              <w:kinsoku/>
              <w:autoSpaceDE/>
              <w:autoSpaceDN/>
              <w:bidi w:val="0"/>
              <w:adjustRightInd/>
              <w:snapToGrid/>
              <w:spacing w:line="360" w:lineRule="auto"/>
              <w:jc w:val="both"/>
              <w:textAlignment w:val="auto"/>
              <w:rPr>
                <w:rFonts w:hint="eastAsia" w:ascii="宋体" w:hAnsi="宋体" w:eastAsia="宋体" w:cs="宋体"/>
                <w:b/>
                <w:bCs/>
                <w:snapToGrid/>
                <w:kern w:val="2"/>
                <w:szCs w:val="22"/>
                <w:lang w:val="en-US" w:eastAsia="zh-CN"/>
              </w:rPr>
            </w:pPr>
            <w:r>
              <w:rPr>
                <w:rFonts w:hint="eastAsia" w:ascii="宋体" w:hAnsi="宋体" w:eastAsia="宋体" w:cs="宋体"/>
                <w:snapToGrid/>
                <w:kern w:val="2"/>
                <w:szCs w:val="22"/>
                <w:lang w:val="en-US" w:eastAsia="zh-CN"/>
              </w:rPr>
              <w:t>界面中标签页下提供可供修改的参数。当前显示的标签页对应控制环中的部分会标识出来，在其图片周围显示一圈不同的颜色。标签页的切换可以直接单击标签头，也可单击控制环中对应部分，鼠标移动过程中变为手型的部分可点。</w:t>
            </w:r>
            <w:r>
              <w:rPr>
                <w:rFonts w:hint="eastAsia" w:ascii="宋体" w:hAnsi="宋体" w:eastAsia="宋体" w:cs="宋体"/>
                <w:b/>
                <w:bCs/>
                <w:snapToGrid/>
                <w:kern w:val="2"/>
                <w:szCs w:val="22"/>
                <w:lang w:val="en-US" w:eastAsia="zh-CN"/>
              </w:rPr>
              <w:t>（提供相应功能截图证明并投标供应商公章）</w:t>
            </w:r>
          </w:p>
          <w:p w14:paraId="1D4C11A0">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17、位置环界面</w:t>
            </w:r>
          </w:p>
          <w:p w14:paraId="45BA7AEA">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界面中标签页下提供可供修改的参数。当前显示的标签页对应控制环中的部分会标识出来，在其图片周围显示一圈不同的颜色。此界面只有一个标签页。</w:t>
            </w:r>
          </w:p>
          <w:p w14:paraId="54261BB5">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18、实时跟踪界面</w:t>
            </w:r>
          </w:p>
          <w:p w14:paraId="15D681EB">
            <w:pPr>
              <w:widowControl w:val="0"/>
              <w:numPr>
                <w:ilvl w:val="0"/>
                <w:numId w:val="0"/>
              </w:numPr>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界面中上方有坐标轴区域为绘图区域。上图中下面有部分被覆盖，可通过界面的垂直滚动条拖动界面使其可见。同样，前面介绍的界面以及后面将要介绍的界面，有文字覆盖或显示不全的区域可以通过拖动滚动条或放大显示窗口来显示。</w:t>
            </w:r>
          </w:p>
          <w:p w14:paraId="5226535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val="en-US" w:eastAsia="zh-CN"/>
              </w:rPr>
            </w:pPr>
            <w:r>
              <w:rPr>
                <w:rFonts w:hint="eastAsia" w:ascii="宋体" w:hAnsi="宋体" w:eastAsia="宋体" w:cs="宋体"/>
                <w:snapToGrid/>
                <w:kern w:val="2"/>
                <w:szCs w:val="22"/>
                <w:lang w:val="en-US" w:eastAsia="zh-CN"/>
              </w:rPr>
              <w:t>▲19、电机参数列表界面</w:t>
            </w:r>
            <w:r>
              <w:rPr>
                <w:rFonts w:hint="eastAsia" w:ascii="宋体" w:hAnsi="宋体" w:eastAsia="宋体" w:cs="宋体"/>
                <w:snapToGrid/>
                <w:kern w:val="2"/>
                <w:szCs w:val="22"/>
                <w:lang w:val="en-US" w:eastAsia="zh-CN"/>
              </w:rPr>
              <w:br w:type="textWrapping"/>
            </w:r>
            <w:r>
              <w:rPr>
                <w:rFonts w:hint="eastAsia" w:ascii="宋体" w:hAnsi="宋体" w:eastAsia="宋体" w:cs="宋体"/>
                <w:snapToGrid/>
                <w:kern w:val="2"/>
                <w:szCs w:val="22"/>
                <w:lang w:val="en-US" w:eastAsia="zh-CN"/>
              </w:rPr>
              <w:t>电机参数列表界面是集中显示参数密码、电机型号、驱动器型号、初始显示状态、控制方式、速度比例增益、速度积分时间常数、转矩滤波器时间常数、速度反馈滤波时间常数、位置比例增益、速度前馈增益、速度前馈滤波时间常数、位置指令脉冲分频分子、位置指令脉冲分频分母、位置指令脉冲输入方式、位置指令脉冲方向取反、定位完成范围、位置超差检测范围、绝对式编码器使用方式、应置指令脉冲信号滤波时间常数、电机控制位功能、JOG运行速度/内部速度激励信号幅值、速度指令选择、用户最高速、限制百分比、位置指令方向信号滤波时间常数、转矩指令来源、内部激励信号频率的参数，集中显示的内容包含参数值、单位、参数范围、出厂值、使用方法和重启生效。</w:t>
            </w:r>
            <w:r>
              <w:rPr>
                <w:rFonts w:hint="eastAsia" w:ascii="宋体" w:hAnsi="宋体" w:eastAsia="宋体" w:cs="宋体"/>
                <w:b/>
                <w:bCs/>
                <w:snapToGrid/>
                <w:kern w:val="2"/>
                <w:szCs w:val="22"/>
                <w:lang w:val="en-US" w:eastAsia="zh-CN"/>
              </w:rPr>
              <w:t>（提供相应功能截图证明并加盖并投标供应商公章）</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7213B1B">
            <w:pPr>
              <w:widowControl w:val="0"/>
              <w:kinsoku/>
              <w:autoSpaceDE/>
              <w:autoSpaceDN/>
              <w:adjustRightInd/>
              <w:snapToGrid/>
              <w:spacing w:after="160" w:line="278" w:lineRule="auto"/>
              <w:jc w:val="center"/>
              <w:textAlignment w:val="auto"/>
              <w:rPr>
                <w:rFonts w:hint="eastAsia" w:ascii="宋体" w:hAnsi="宋体" w:eastAsia="宋体" w:cs="宋体"/>
                <w:snapToGrid/>
                <w:kern w:val="2"/>
                <w:sz w:val="21"/>
                <w:szCs w:val="21"/>
                <w:lang w:eastAsia="zh-CN"/>
              </w:rPr>
            </w:pPr>
            <w:r>
              <w:rPr>
                <w:rFonts w:hint="eastAsia" w:ascii="宋体" w:hAnsi="宋体" w:eastAsia="宋体" w:cs="宋体"/>
                <w:snapToGrid/>
                <w:kern w:val="2"/>
                <w:sz w:val="21"/>
                <w:szCs w:val="21"/>
                <w:lang w:eastAsia="zh-CN"/>
              </w:rPr>
              <w:t>2</w:t>
            </w:r>
          </w:p>
        </w:tc>
      </w:tr>
    </w:tbl>
    <w:p w14:paraId="19FFD72B">
      <w:pPr>
        <w:widowControl/>
        <w:kinsoku/>
        <w:autoSpaceDE/>
        <w:autoSpaceDN/>
        <w:adjustRightInd/>
        <w:snapToGrid/>
        <w:spacing w:line="240" w:lineRule="auto"/>
        <w:jc w:val="left"/>
        <w:textAlignment w:val="auto"/>
        <w:rPr>
          <w:rFonts w:hint="eastAsia" w:ascii="宋体" w:hAnsi="宋体" w:eastAsia="宋体" w:cs="宋体"/>
          <w:b/>
          <w:bCs/>
          <w:snapToGrid/>
          <w:kern w:val="2"/>
          <w:szCs w:val="21"/>
          <w:highlight w:val="none"/>
          <w:lang w:eastAsia="zh-CN"/>
        </w:rPr>
      </w:pPr>
    </w:p>
    <w:p w14:paraId="308C422C">
      <w:pPr>
        <w:widowControl w:val="0"/>
        <w:numPr>
          <w:ilvl w:val="0"/>
          <w:numId w:val="0"/>
        </w:numPr>
        <w:kinsoku/>
        <w:autoSpaceDE/>
        <w:autoSpaceDN/>
        <w:adjustRightInd/>
        <w:snapToGrid/>
        <w:spacing w:after="0" w:line="360" w:lineRule="auto"/>
        <w:ind w:left="482" w:leftChars="0" w:hanging="482" w:hangingChars="200"/>
        <w:jc w:val="both"/>
        <w:textAlignment w:val="auto"/>
        <w:rPr>
          <w:rFonts w:hint="eastAsia" w:ascii="宋体" w:hAnsi="宋体" w:eastAsia="宋体" w:cs="宋体"/>
          <w:b w:val="0"/>
          <w:bCs w:val="0"/>
          <w:snapToGrid/>
          <w:color w:val="auto"/>
          <w:kern w:val="2"/>
          <w:sz w:val="21"/>
          <w:szCs w:val="21"/>
          <w:highlight w:val="none"/>
          <w:lang w:val="en-US" w:eastAsia="zh-CN"/>
        </w:rPr>
      </w:pPr>
      <w:r>
        <w:rPr>
          <w:rFonts w:hint="eastAsia" w:ascii="宋体" w:hAnsi="宋体" w:eastAsia="宋体" w:cs="宋体"/>
          <w:b/>
          <w:bCs/>
          <w:snapToGrid/>
          <w:color w:val="auto"/>
          <w:kern w:val="2"/>
          <w:sz w:val="24"/>
          <w:szCs w:val="24"/>
          <w:highlight w:val="none"/>
          <w:lang w:val="en-US" w:eastAsia="zh-CN"/>
        </w:rPr>
        <w:t>三、商务要求</w:t>
      </w:r>
      <w:r>
        <w:rPr>
          <w:rFonts w:hint="eastAsia" w:ascii="宋体" w:hAnsi="宋体" w:eastAsia="宋体" w:cs="宋体"/>
          <w:b/>
          <w:bCs/>
          <w:snapToGrid/>
          <w:color w:val="auto"/>
          <w:kern w:val="2"/>
          <w:sz w:val="24"/>
          <w:szCs w:val="24"/>
          <w:highlight w:val="none"/>
          <w:lang w:val="en-US" w:eastAsia="zh-CN"/>
        </w:rPr>
        <w:br w:type="textWrapping"/>
      </w:r>
      <w:r>
        <w:rPr>
          <w:rFonts w:hint="eastAsia" w:ascii="宋体" w:hAnsi="宋体" w:eastAsia="宋体" w:cs="宋体"/>
          <w:b w:val="0"/>
          <w:bCs w:val="0"/>
          <w:snapToGrid/>
          <w:color w:val="auto"/>
          <w:kern w:val="2"/>
          <w:sz w:val="24"/>
          <w:szCs w:val="24"/>
          <w:highlight w:val="none"/>
          <w:lang w:val="en-US" w:eastAsia="zh-CN"/>
        </w:rPr>
        <w:t>1、</w:t>
      </w:r>
      <w:r>
        <w:rPr>
          <w:rFonts w:hint="eastAsia" w:ascii="宋体" w:hAnsi="宋体" w:eastAsia="宋体" w:cs="宋体"/>
          <w:b w:val="0"/>
          <w:bCs w:val="0"/>
          <w:snapToGrid/>
          <w:color w:val="auto"/>
          <w:kern w:val="2"/>
          <w:sz w:val="21"/>
          <w:szCs w:val="21"/>
          <w:highlight w:val="none"/>
          <w:lang w:val="en-US" w:eastAsia="zh-CN"/>
        </w:rPr>
        <w:t>合同履行期限：合同签订之日起15日历天内完成供货、安装、调试、交付采购人</w:t>
      </w:r>
    </w:p>
    <w:p w14:paraId="5C98F36A">
      <w:pPr>
        <w:widowControl w:val="0"/>
        <w:numPr>
          <w:ilvl w:val="0"/>
          <w:numId w:val="0"/>
        </w:numPr>
        <w:kinsoku/>
        <w:autoSpaceDE/>
        <w:autoSpaceDN/>
        <w:adjustRightInd/>
        <w:snapToGrid/>
        <w:spacing w:after="0" w:line="360" w:lineRule="auto"/>
        <w:ind w:leftChars="0"/>
        <w:jc w:val="both"/>
        <w:textAlignment w:val="auto"/>
        <w:rPr>
          <w:rFonts w:hint="eastAsia" w:ascii="宋体" w:hAnsi="宋体" w:eastAsia="宋体" w:cs="宋体"/>
          <w:b w:val="0"/>
          <w:bCs w:val="0"/>
          <w:snapToGrid/>
          <w:color w:val="auto"/>
          <w:kern w:val="2"/>
          <w:sz w:val="21"/>
          <w:szCs w:val="21"/>
          <w:highlight w:val="none"/>
          <w:lang w:val="en-US" w:eastAsia="zh-CN"/>
        </w:rPr>
      </w:pPr>
      <w:r>
        <w:rPr>
          <w:rFonts w:hint="eastAsia" w:ascii="宋体" w:hAnsi="宋体" w:eastAsia="宋体" w:cs="宋体"/>
          <w:b w:val="0"/>
          <w:bCs w:val="0"/>
          <w:snapToGrid/>
          <w:color w:val="auto"/>
          <w:kern w:val="2"/>
          <w:sz w:val="21"/>
          <w:szCs w:val="21"/>
          <w:highlight w:val="none"/>
          <w:lang w:val="en-US" w:eastAsia="zh-CN"/>
        </w:rPr>
        <w:t>正式使用。</w:t>
      </w:r>
    </w:p>
    <w:p w14:paraId="24DE2564">
      <w:pPr>
        <w:widowControl w:val="0"/>
        <w:numPr>
          <w:ilvl w:val="0"/>
          <w:numId w:val="0"/>
        </w:numPr>
        <w:kinsoku/>
        <w:autoSpaceDE/>
        <w:autoSpaceDN/>
        <w:adjustRightInd/>
        <w:snapToGrid/>
        <w:spacing w:after="0" w:line="360" w:lineRule="auto"/>
        <w:ind w:leftChars="200"/>
        <w:jc w:val="both"/>
        <w:textAlignment w:val="auto"/>
        <w:rPr>
          <w:rFonts w:hint="default" w:ascii="宋体" w:hAnsi="宋体" w:eastAsia="宋体" w:cs="宋体"/>
          <w:b w:val="0"/>
          <w:bCs w:val="0"/>
          <w:snapToGrid/>
          <w:color w:val="auto"/>
          <w:kern w:val="2"/>
          <w:sz w:val="21"/>
          <w:szCs w:val="21"/>
          <w:highlight w:val="none"/>
          <w:lang w:val="en-US" w:eastAsia="zh-CN"/>
        </w:rPr>
      </w:pPr>
      <w:r>
        <w:rPr>
          <w:rFonts w:hint="eastAsia" w:ascii="宋体" w:hAnsi="宋体" w:eastAsia="宋体" w:cs="宋体"/>
          <w:b w:val="0"/>
          <w:bCs w:val="0"/>
          <w:snapToGrid/>
          <w:color w:val="auto"/>
          <w:kern w:val="2"/>
          <w:sz w:val="21"/>
          <w:szCs w:val="21"/>
          <w:highlight w:val="none"/>
          <w:lang w:val="en-US" w:eastAsia="zh-CN"/>
        </w:rPr>
        <w:t>2、质保期：3年。(自交货验收合格之日起计)</w:t>
      </w:r>
    </w:p>
    <w:p w14:paraId="32021166">
      <w:pPr>
        <w:widowControl w:val="0"/>
        <w:numPr>
          <w:ilvl w:val="0"/>
          <w:numId w:val="0"/>
        </w:numPr>
        <w:kinsoku/>
        <w:autoSpaceDE/>
        <w:autoSpaceDN/>
        <w:adjustRightInd/>
        <w:snapToGrid/>
        <w:spacing w:after="0" w:line="360" w:lineRule="auto"/>
        <w:ind w:leftChars="200"/>
        <w:jc w:val="both"/>
        <w:textAlignment w:val="auto"/>
        <w:rPr>
          <w:rFonts w:hint="eastAsia" w:ascii="宋体" w:hAnsi="宋体" w:eastAsia="宋体" w:cs="宋体"/>
          <w:b w:val="0"/>
          <w:bCs w:val="0"/>
          <w:snapToGrid/>
          <w:color w:val="auto"/>
          <w:kern w:val="2"/>
          <w:sz w:val="21"/>
          <w:szCs w:val="21"/>
          <w:highlight w:val="none"/>
          <w:lang w:val="en-US" w:eastAsia="zh-CN"/>
        </w:rPr>
      </w:pPr>
      <w:r>
        <w:rPr>
          <w:rFonts w:hint="eastAsia" w:ascii="宋体" w:hAnsi="宋体" w:eastAsia="宋体" w:cs="宋体"/>
          <w:b w:val="0"/>
          <w:bCs w:val="0"/>
          <w:snapToGrid/>
          <w:color w:val="auto"/>
          <w:kern w:val="2"/>
          <w:sz w:val="21"/>
          <w:szCs w:val="21"/>
          <w:highlight w:val="none"/>
          <w:lang w:val="en-US" w:eastAsia="zh-CN"/>
        </w:rPr>
        <w:t>3、付款方式：合同签订后，在接到甲方供货要求，15日历天内完成供货、安装并调试</w:t>
      </w:r>
    </w:p>
    <w:p w14:paraId="765FF252">
      <w:pPr>
        <w:widowControl w:val="0"/>
        <w:numPr>
          <w:ilvl w:val="0"/>
          <w:numId w:val="0"/>
        </w:numPr>
        <w:kinsoku/>
        <w:autoSpaceDE/>
        <w:autoSpaceDN/>
        <w:adjustRightInd/>
        <w:snapToGrid/>
        <w:spacing w:after="0" w:line="360" w:lineRule="auto"/>
        <w:jc w:val="both"/>
        <w:textAlignment w:val="auto"/>
        <w:rPr>
          <w:rFonts w:hint="default" w:ascii="宋体" w:hAnsi="宋体" w:eastAsia="宋体" w:cs="宋体"/>
          <w:b w:val="0"/>
          <w:bCs w:val="0"/>
          <w:snapToGrid/>
          <w:color w:val="auto"/>
          <w:kern w:val="2"/>
          <w:sz w:val="21"/>
          <w:szCs w:val="21"/>
          <w:highlight w:val="none"/>
          <w:lang w:val="en-US" w:eastAsia="zh-CN"/>
        </w:rPr>
      </w:pPr>
      <w:r>
        <w:rPr>
          <w:rFonts w:hint="eastAsia" w:ascii="宋体" w:hAnsi="宋体" w:eastAsia="宋体" w:cs="宋体"/>
          <w:b w:val="0"/>
          <w:bCs w:val="0"/>
          <w:snapToGrid/>
          <w:color w:val="auto"/>
          <w:kern w:val="2"/>
          <w:sz w:val="21"/>
          <w:szCs w:val="21"/>
          <w:highlight w:val="none"/>
          <w:lang w:val="en-US" w:eastAsia="zh-CN"/>
        </w:rPr>
        <w:t>正常运转且经甲方验收合格后，支付合同总价的90%，待稳定运转一年后支付剩余合同价款。</w:t>
      </w:r>
    </w:p>
    <w:p w14:paraId="5574F53B">
      <w:pPr>
        <w:widowControl w:val="0"/>
        <w:kinsoku/>
        <w:autoSpaceDE/>
        <w:autoSpaceDN/>
        <w:adjustRightInd/>
        <w:snapToGrid/>
        <w:spacing w:line="360" w:lineRule="auto"/>
        <w:jc w:val="both"/>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四</w:t>
      </w:r>
      <w:r>
        <w:rPr>
          <w:rFonts w:hint="eastAsia" w:ascii="宋体" w:hAnsi="宋体" w:eastAsia="宋体" w:cs="宋体"/>
          <w:b/>
          <w:bCs/>
          <w:snapToGrid/>
          <w:color w:val="auto"/>
          <w:kern w:val="2"/>
          <w:sz w:val="24"/>
          <w:szCs w:val="24"/>
          <w:highlight w:val="none"/>
          <w:lang w:eastAsia="zh-CN"/>
        </w:rPr>
        <w:t>、其他要求</w:t>
      </w:r>
    </w:p>
    <w:p w14:paraId="786D2B6B">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eastAsia="zh-CN"/>
        </w:rPr>
      </w:pPr>
      <w:r>
        <w:rPr>
          <w:rFonts w:hint="eastAsia" w:ascii="宋体" w:hAnsi="宋体" w:eastAsia="宋体" w:cs="宋体"/>
          <w:snapToGrid/>
          <w:color w:val="auto"/>
          <w:kern w:val="2"/>
          <w:szCs w:val="21"/>
          <w:highlight w:val="none"/>
          <w:lang w:val="en-US" w:eastAsia="zh-CN"/>
        </w:rPr>
        <w:t>1</w:t>
      </w:r>
      <w:r>
        <w:rPr>
          <w:rFonts w:hint="eastAsia" w:ascii="宋体" w:hAnsi="宋体" w:eastAsia="宋体" w:cs="宋体"/>
          <w:snapToGrid/>
          <w:color w:val="auto"/>
          <w:kern w:val="2"/>
          <w:szCs w:val="21"/>
          <w:highlight w:val="none"/>
          <w:lang w:eastAsia="zh-CN"/>
        </w:rPr>
        <w:t>.本项目为交钥匙工程，项目包含货物制作、安装、施工、运输、调试验收相关的技术指导和售后服务、利润、保险、税金、以及所包含的风险、责任等所有费用均包含在报价内，请各投标人认真考虑其各种风险。除合同另有规定之外，伴随服务的费用均已含在合同价款中，采购人不再另行支付。</w:t>
      </w:r>
    </w:p>
    <w:p w14:paraId="2E5BA701">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eastAsia="zh-CN"/>
        </w:rPr>
      </w:pPr>
      <w:r>
        <w:rPr>
          <w:rFonts w:hint="eastAsia" w:ascii="宋体" w:hAnsi="宋体" w:eastAsia="宋体" w:cs="宋体"/>
          <w:snapToGrid/>
          <w:color w:val="auto"/>
          <w:kern w:val="2"/>
          <w:szCs w:val="21"/>
          <w:highlight w:val="none"/>
          <w:lang w:val="en-US" w:eastAsia="zh-CN"/>
        </w:rPr>
        <w:t>2</w:t>
      </w:r>
      <w:r>
        <w:rPr>
          <w:rFonts w:hint="eastAsia" w:ascii="宋体" w:hAnsi="宋体" w:eastAsia="宋体" w:cs="宋体"/>
          <w:snapToGrid/>
          <w:color w:val="auto"/>
          <w:kern w:val="2"/>
          <w:szCs w:val="21"/>
          <w:highlight w:val="none"/>
          <w:lang w:eastAsia="zh-CN"/>
        </w:rPr>
        <w:t>.自验收合格之日起，所有设备及部件提供三年原厂免费质保，质保期内全免费上门。</w:t>
      </w:r>
    </w:p>
    <w:p w14:paraId="1E0D31A7">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eastAsia="zh-CN"/>
        </w:rPr>
      </w:pPr>
      <w:r>
        <w:rPr>
          <w:rFonts w:hint="eastAsia" w:ascii="宋体" w:hAnsi="宋体" w:eastAsia="宋体" w:cs="宋体"/>
          <w:snapToGrid/>
          <w:color w:val="auto"/>
          <w:kern w:val="2"/>
          <w:szCs w:val="21"/>
          <w:highlight w:val="none"/>
          <w:lang w:val="en-US" w:eastAsia="zh-CN"/>
        </w:rPr>
        <w:t>3.</w:t>
      </w:r>
      <w:r>
        <w:rPr>
          <w:rFonts w:hint="eastAsia" w:ascii="宋体" w:hAnsi="宋体" w:eastAsia="宋体" w:cs="宋体"/>
          <w:snapToGrid/>
          <w:color w:val="auto"/>
          <w:kern w:val="2"/>
          <w:szCs w:val="21"/>
          <w:highlight w:val="none"/>
          <w:lang w:eastAsia="zh-CN"/>
        </w:rPr>
        <w:t>设备材料的包装均应有良好的防湿、防锈、防潮、防雨、防腐及防碰撞的措施。凡由于包装不良造成的损失和由此产生的费用均由中标人承担。</w:t>
      </w:r>
    </w:p>
    <w:p w14:paraId="1A3CC0C4">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eastAsia="zh-CN"/>
        </w:rPr>
      </w:pPr>
      <w:r>
        <w:rPr>
          <w:rFonts w:hint="eastAsia" w:ascii="宋体" w:hAnsi="宋体" w:eastAsia="宋体" w:cs="宋体"/>
          <w:snapToGrid/>
          <w:color w:val="auto"/>
          <w:kern w:val="2"/>
          <w:szCs w:val="21"/>
          <w:highlight w:val="none"/>
          <w:lang w:val="en-US" w:eastAsia="zh-CN"/>
        </w:rPr>
        <w:t>4</w:t>
      </w:r>
      <w:r>
        <w:rPr>
          <w:rFonts w:hint="eastAsia" w:ascii="宋体" w:hAnsi="宋体" w:eastAsia="宋体" w:cs="宋体"/>
          <w:snapToGrid/>
          <w:color w:val="auto"/>
          <w:kern w:val="2"/>
          <w:szCs w:val="21"/>
          <w:highlight w:val="none"/>
          <w:lang w:eastAsia="zh-CN"/>
        </w:rPr>
        <w:t>.投标人应按照招标文件要求对设备（或服务）的各个参数指标作出实质性应答。中标后，投标人在合同谈判中提出的任何偏差都不得超过此偏差表中已被采购人确认的条款。</w:t>
      </w:r>
    </w:p>
    <w:p w14:paraId="64FAC72E">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eastAsia="zh-CN"/>
        </w:rPr>
      </w:pPr>
      <w:r>
        <w:rPr>
          <w:rFonts w:hint="eastAsia" w:ascii="宋体" w:hAnsi="宋体" w:eastAsia="宋体" w:cs="宋体"/>
          <w:snapToGrid/>
          <w:color w:val="auto"/>
          <w:kern w:val="2"/>
          <w:szCs w:val="21"/>
          <w:highlight w:val="none"/>
          <w:lang w:val="en-US" w:eastAsia="zh-CN"/>
        </w:rPr>
        <w:t>5</w:t>
      </w:r>
      <w:r>
        <w:rPr>
          <w:rFonts w:hint="eastAsia" w:ascii="宋体" w:hAnsi="宋体" w:eastAsia="宋体" w:cs="宋体"/>
          <w:snapToGrid/>
          <w:color w:val="auto"/>
          <w:kern w:val="2"/>
          <w:szCs w:val="21"/>
          <w:highlight w:val="none"/>
          <w:lang w:eastAsia="zh-CN"/>
        </w:rPr>
        <w:t>.中标人提供产品必须随货提供出厂产品合格证、质保书和产品操作使用说明书等相关资料，产品质量和各种技术指标，经验收达不到规范要求，必须更换设备，直至检测通过并且验收合格，并按国家有关规定进行处罚，直至赔偿采购人的一切损失。如发现使用假冒伪劣产品、三无产品，一经查实，立即终止合同，所有款项一律不付、不退，并将来货封存，交由质量监督部门处理，并按其处罚意见，处以罚款。</w:t>
      </w:r>
    </w:p>
    <w:p w14:paraId="39279AFB">
      <w:pPr>
        <w:widowControl w:val="0"/>
        <w:kinsoku/>
        <w:autoSpaceDE/>
        <w:autoSpaceDN/>
        <w:adjustRightInd/>
        <w:snapToGrid/>
        <w:spacing w:line="360" w:lineRule="auto"/>
        <w:ind w:firstLine="420"/>
        <w:jc w:val="left"/>
        <w:textAlignment w:val="auto"/>
        <w:rPr>
          <w:rFonts w:hint="eastAsia" w:ascii="宋体" w:hAnsi="宋体" w:eastAsia="宋体" w:cs="宋体"/>
          <w:snapToGrid/>
          <w:color w:val="auto"/>
          <w:kern w:val="2"/>
          <w:szCs w:val="21"/>
          <w:highlight w:val="none"/>
          <w:lang w:eastAsia="zh-CN"/>
        </w:rPr>
      </w:pPr>
    </w:p>
    <w:p w14:paraId="7AB5E296">
      <w:pPr>
        <w:widowControl w:val="0"/>
        <w:kinsoku/>
        <w:autoSpaceDE/>
        <w:autoSpaceDN/>
        <w:adjustRightInd/>
        <w:snapToGrid/>
        <w:spacing w:line="360" w:lineRule="auto"/>
        <w:ind w:firstLine="420"/>
        <w:jc w:val="both"/>
        <w:textAlignment w:val="auto"/>
        <w:rPr>
          <w:rFonts w:hint="eastAsia" w:ascii="宋体" w:hAnsi="宋体" w:eastAsia="宋体" w:cs="宋体"/>
          <w:snapToGrid/>
          <w:color w:val="auto"/>
          <w:kern w:val="2"/>
          <w:szCs w:val="21"/>
          <w:highlight w:val="none"/>
          <w:lang w:val="en-US" w:eastAsia="zh-CN"/>
        </w:rPr>
      </w:pPr>
    </w:p>
    <w:p w14:paraId="3EF0128E">
      <w:pPr>
        <w:pStyle w:val="2"/>
        <w:jc w:val="center"/>
        <w:rPr>
          <w:rFonts w:hint="eastAsia" w:ascii="宋体" w:hAnsi="宋体" w:eastAsia="宋体" w:cs="宋体"/>
          <w:color w:val="000000"/>
          <w:sz w:val="36"/>
          <w:highlight w:val="none"/>
        </w:rPr>
        <w:sectPr>
          <w:pgSz w:w="11906" w:h="16838"/>
          <w:pgMar w:top="1440" w:right="1800" w:bottom="1440" w:left="1800" w:header="851" w:footer="992" w:gutter="0"/>
          <w:cols w:space="720" w:num="1"/>
          <w:docGrid w:type="lines" w:linePitch="312" w:charSpace="0"/>
        </w:sectPr>
      </w:pPr>
    </w:p>
    <w:p w14:paraId="7F9650CE">
      <w:pPr>
        <w:pStyle w:val="2"/>
        <w:kinsoku/>
        <w:autoSpaceDE/>
        <w:autoSpaceDN/>
        <w:adjustRightInd/>
        <w:snapToGrid/>
        <w:jc w:val="center"/>
        <w:textAlignment w:val="auto"/>
        <w:rPr>
          <w:rFonts w:hint="eastAsia" w:ascii="宋体" w:hAnsi="宋体" w:eastAsia="宋体" w:cs="宋体"/>
          <w:snapToGrid/>
          <w:color w:val="000000"/>
          <w:sz w:val="36"/>
        </w:rPr>
      </w:pPr>
      <w:r>
        <w:rPr>
          <w:rFonts w:hint="eastAsia" w:ascii="宋体" w:hAnsi="宋体" w:cs="宋体"/>
          <w:snapToGrid/>
          <w:color w:val="000000"/>
          <w:sz w:val="36"/>
          <w:lang w:val="en-US" w:eastAsia="zh-CN"/>
        </w:rPr>
        <w:t>二、</w:t>
      </w:r>
      <w:r>
        <w:rPr>
          <w:rFonts w:hint="eastAsia" w:ascii="宋体" w:hAnsi="宋体" w:eastAsia="宋体" w:cs="宋体"/>
          <w:snapToGrid/>
          <w:color w:val="000000"/>
          <w:sz w:val="36"/>
        </w:rPr>
        <w:t xml:space="preserve"> 评标方法及评标标准</w:t>
      </w:r>
      <w:bookmarkEnd w:id="0"/>
    </w:p>
    <w:p w14:paraId="2D05E851">
      <w:pPr>
        <w:pStyle w:val="9"/>
        <w:kinsoku/>
        <w:autoSpaceDE/>
        <w:autoSpaceDN/>
        <w:snapToGrid/>
        <w:spacing w:line="240" w:lineRule="auto"/>
        <w:ind w:firstLine="422" w:firstLineChars="200"/>
        <w:rPr>
          <w:rFonts w:hint="eastAsia" w:ascii="宋体" w:hAnsi="宋体" w:eastAsia="宋体" w:cs="宋体"/>
          <w:b/>
          <w:snapToGrid/>
          <w:kern w:val="2"/>
          <w:sz w:val="21"/>
          <w:szCs w:val="21"/>
        </w:rPr>
      </w:pPr>
      <w:r>
        <w:rPr>
          <w:rFonts w:hint="eastAsia" w:ascii="宋体" w:hAnsi="宋体" w:eastAsia="宋体" w:cs="宋体"/>
          <w:b/>
          <w:snapToGrid/>
          <w:kern w:val="2"/>
          <w:sz w:val="21"/>
          <w:szCs w:val="21"/>
        </w:rPr>
        <w:t>一、评标方法</w:t>
      </w:r>
    </w:p>
    <w:p w14:paraId="02A7BDA1">
      <w:pPr>
        <w:pStyle w:val="9"/>
        <w:kinsoku/>
        <w:autoSpaceDE/>
        <w:autoSpaceDN/>
        <w:snapToGrid/>
        <w:spacing w:line="360" w:lineRule="auto"/>
        <w:ind w:firstLine="420" w:firstLineChars="200"/>
        <w:rPr>
          <w:rFonts w:hint="eastAsia" w:ascii="宋体" w:hAnsi="宋体" w:eastAsia="宋体" w:cs="宋体"/>
          <w:snapToGrid/>
          <w:kern w:val="2"/>
          <w:sz w:val="21"/>
          <w:szCs w:val="21"/>
        </w:rPr>
      </w:pPr>
      <w:r>
        <w:rPr>
          <w:rFonts w:hint="eastAsia" w:ascii="宋体" w:hAnsi="宋体" w:eastAsia="宋体" w:cs="宋体"/>
          <w:snapToGrid/>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5B767DB">
      <w:pPr>
        <w:pStyle w:val="9"/>
        <w:numPr>
          <w:ilvl w:val="0"/>
          <w:numId w:val="0"/>
        </w:numPr>
        <w:kinsoku/>
        <w:autoSpaceDE/>
        <w:autoSpaceDN/>
        <w:snapToGrid/>
        <w:ind w:leftChars="0"/>
        <w:rPr>
          <w:rFonts w:hint="eastAsia" w:ascii="宋体" w:hAnsi="宋体" w:eastAsia="宋体" w:cs="宋体"/>
          <w:b/>
          <w:snapToGrid/>
          <w:kern w:val="2"/>
          <w:sz w:val="21"/>
          <w:szCs w:val="21"/>
        </w:rPr>
      </w:pPr>
      <w:r>
        <w:rPr>
          <w:rFonts w:hint="eastAsia" w:ascii="宋体" w:hAnsi="宋体" w:cs="宋体"/>
          <w:b/>
          <w:snapToGrid/>
          <w:kern w:val="2"/>
          <w:sz w:val="21"/>
          <w:szCs w:val="21"/>
          <w:lang w:val="en-US" w:eastAsia="zh-CN"/>
        </w:rPr>
        <w:t>二、</w:t>
      </w:r>
      <w:r>
        <w:rPr>
          <w:rFonts w:hint="eastAsia" w:ascii="宋体" w:hAnsi="宋体" w:eastAsia="宋体" w:cs="宋体"/>
          <w:b/>
          <w:snapToGrid/>
          <w:kern w:val="2"/>
          <w:sz w:val="21"/>
          <w:szCs w:val="21"/>
        </w:rPr>
        <w:t>评标标准</w:t>
      </w:r>
      <w:bookmarkStart w:id="2" w:name="_GoBack"/>
      <w:bookmarkEnd w:id="2"/>
    </w:p>
    <w:tbl>
      <w:tblPr>
        <w:tblStyle w:val="5"/>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590"/>
        <w:gridCol w:w="900"/>
      </w:tblGrid>
      <w:tr w14:paraId="2D0F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4DBF0B09">
            <w:pPr>
              <w:widowControl w:val="0"/>
              <w:kinsoku/>
              <w:autoSpaceDE/>
              <w:autoSpaceDN/>
              <w:bidi w:val="0"/>
              <w:adjustRightInd/>
              <w:snapToGrid/>
              <w:spacing w:line="240" w:lineRule="auto"/>
              <w:jc w:val="center"/>
              <w:textAlignment w:val="auto"/>
              <w:rPr>
                <w:rFonts w:hint="eastAsia" w:ascii="Times New Roman" w:hAnsi="Times New Roman" w:eastAsia="宋体" w:cs="Times New Roman"/>
                <w:snapToGrid/>
                <w:kern w:val="2"/>
                <w:szCs w:val="22"/>
                <w:lang w:eastAsia="zh-CN"/>
              </w:rPr>
            </w:pPr>
            <w:r>
              <w:rPr>
                <w:rFonts w:ascii="Times New Roman" w:hAnsi="Times New Roman" w:eastAsia="宋体" w:cs="Times New Roman"/>
                <w:snapToGrid/>
                <w:kern w:val="2"/>
                <w:szCs w:val="22"/>
                <w:lang w:eastAsia="zh-CN"/>
              </w:rPr>
              <w:t>评分项名称</w:t>
            </w:r>
          </w:p>
        </w:tc>
        <w:tc>
          <w:tcPr>
            <w:tcW w:w="7590" w:type="dxa"/>
            <w:noWrap w:val="0"/>
            <w:vAlign w:val="center"/>
          </w:tcPr>
          <w:p w14:paraId="7A4310DF">
            <w:pPr>
              <w:widowControl w:val="0"/>
              <w:kinsoku/>
              <w:autoSpaceDE/>
              <w:autoSpaceDN/>
              <w:bidi w:val="0"/>
              <w:adjustRightInd/>
              <w:snapToGrid/>
              <w:spacing w:line="240" w:lineRule="auto"/>
              <w:jc w:val="center"/>
              <w:textAlignment w:val="auto"/>
              <w:rPr>
                <w:rFonts w:hint="eastAsia" w:ascii="Times New Roman" w:hAnsi="Times New Roman" w:eastAsia="宋体" w:cs="Times New Roman"/>
                <w:snapToGrid/>
                <w:kern w:val="2"/>
                <w:szCs w:val="22"/>
                <w:lang w:eastAsia="zh-CN"/>
              </w:rPr>
            </w:pPr>
            <w:r>
              <w:rPr>
                <w:rFonts w:ascii="Times New Roman" w:hAnsi="Times New Roman" w:eastAsia="宋体" w:cs="Times New Roman"/>
                <w:snapToGrid/>
                <w:kern w:val="2"/>
                <w:szCs w:val="22"/>
                <w:lang w:eastAsia="zh-CN"/>
              </w:rPr>
              <w:t>评分标准</w:t>
            </w:r>
          </w:p>
        </w:tc>
        <w:tc>
          <w:tcPr>
            <w:tcW w:w="900" w:type="dxa"/>
            <w:noWrap w:val="0"/>
            <w:vAlign w:val="center"/>
          </w:tcPr>
          <w:p w14:paraId="7BAC2096">
            <w:pPr>
              <w:widowControl w:val="0"/>
              <w:kinsoku/>
              <w:autoSpaceDE/>
              <w:autoSpaceDN/>
              <w:bidi w:val="0"/>
              <w:adjustRightInd/>
              <w:snapToGrid/>
              <w:spacing w:line="240" w:lineRule="auto"/>
              <w:jc w:val="center"/>
              <w:textAlignment w:val="auto"/>
              <w:rPr>
                <w:rFonts w:hint="eastAsia" w:ascii="Times New Roman" w:hAnsi="Times New Roman" w:eastAsia="宋体" w:cs="Times New Roman"/>
                <w:snapToGrid/>
                <w:kern w:val="2"/>
                <w:szCs w:val="22"/>
                <w:lang w:eastAsia="zh-CN"/>
              </w:rPr>
            </w:pPr>
            <w:r>
              <w:rPr>
                <w:rFonts w:hint="eastAsia" w:ascii="Times New Roman" w:hAnsi="Times New Roman" w:eastAsia="宋体" w:cs="Times New Roman"/>
                <w:snapToGrid/>
                <w:kern w:val="2"/>
                <w:szCs w:val="22"/>
                <w:lang w:eastAsia="zh-CN"/>
              </w:rPr>
              <w:t>分值</w:t>
            </w:r>
          </w:p>
        </w:tc>
      </w:tr>
      <w:tr w14:paraId="3C4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9E8B991">
            <w:pPr>
              <w:widowControl w:val="0"/>
              <w:kinsoku/>
              <w:autoSpaceDE/>
              <w:autoSpaceDN/>
              <w:bidi w:val="0"/>
              <w:adjustRightInd/>
              <w:snapToGrid/>
              <w:spacing w:line="240" w:lineRule="auto"/>
              <w:jc w:val="center"/>
              <w:textAlignment w:val="auto"/>
              <w:rPr>
                <w:rFonts w:hint="eastAsia" w:ascii="Times New Roman" w:hAnsi="Times New Roman" w:eastAsia="宋体" w:cs="Times New Roman"/>
                <w:snapToGrid/>
                <w:kern w:val="2"/>
                <w:szCs w:val="22"/>
                <w:lang w:val="en-US" w:eastAsia="zh-CN"/>
              </w:rPr>
            </w:pPr>
            <w:r>
              <w:rPr>
                <w:rFonts w:hint="eastAsia" w:ascii="Times New Roman" w:hAnsi="Times New Roman" w:eastAsia="宋体" w:cs="Times New Roman"/>
                <w:snapToGrid/>
                <w:kern w:val="2"/>
                <w:szCs w:val="22"/>
                <w:lang w:val="en-US" w:eastAsia="zh-CN"/>
              </w:rPr>
              <w:t>报价</w:t>
            </w:r>
          </w:p>
          <w:p w14:paraId="6D9A0FCE">
            <w:pPr>
              <w:widowControl w:val="0"/>
              <w:kinsoku/>
              <w:autoSpaceDE/>
              <w:autoSpaceDN/>
              <w:bidi w:val="0"/>
              <w:adjustRightInd/>
              <w:snapToGrid/>
              <w:spacing w:line="240" w:lineRule="auto"/>
              <w:jc w:val="center"/>
              <w:textAlignment w:val="auto"/>
              <w:rPr>
                <w:rFonts w:hint="default" w:ascii="Times New Roman" w:hAnsi="Times New Roman" w:eastAsia="宋体" w:cs="Times New Roman"/>
                <w:snapToGrid/>
                <w:kern w:val="2"/>
                <w:szCs w:val="22"/>
                <w:lang w:val="en-US" w:eastAsia="zh-CN"/>
              </w:rPr>
            </w:pPr>
            <w:r>
              <w:rPr>
                <w:rFonts w:hint="eastAsia" w:ascii="Times New Roman" w:hAnsi="Times New Roman" w:eastAsia="宋体" w:cs="Times New Roman"/>
                <w:snapToGrid/>
                <w:kern w:val="2"/>
                <w:szCs w:val="22"/>
                <w:lang w:val="en-US" w:eastAsia="zh-CN"/>
              </w:rPr>
              <w:t>得分</w:t>
            </w:r>
          </w:p>
        </w:tc>
        <w:tc>
          <w:tcPr>
            <w:tcW w:w="7590" w:type="dxa"/>
            <w:noWrap w:val="0"/>
            <w:vAlign w:val="center"/>
          </w:tcPr>
          <w:p w14:paraId="7502883B">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以满足招标文件要求的最低投标报价为评标基准价，得满分30分，其他投标报价得分＝（评标基准价/其他投标报价）×</w:t>
            </w:r>
            <w:r>
              <w:rPr>
                <w:rFonts w:hint="eastAsia" w:ascii="宋体" w:hAnsi="宋体" w:eastAsia="宋体" w:cs="宋体"/>
                <w:snapToGrid/>
                <w:kern w:val="2"/>
                <w:szCs w:val="22"/>
                <w:lang w:val="en-US" w:eastAsia="zh-CN"/>
              </w:rPr>
              <w:t>30</w:t>
            </w:r>
            <w:r>
              <w:rPr>
                <w:rFonts w:hint="eastAsia" w:ascii="宋体" w:hAnsi="宋体" w:eastAsia="宋体" w:cs="宋体"/>
                <w:snapToGrid/>
                <w:kern w:val="2"/>
                <w:szCs w:val="22"/>
                <w:lang w:eastAsia="zh-CN"/>
              </w:rPr>
              <w:t>×100％（小数保留2位）。</w:t>
            </w:r>
          </w:p>
          <w:p w14:paraId="09EE1AF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注：</w:t>
            </w:r>
            <w:r>
              <w:rPr>
                <w:rFonts w:hint="eastAsia" w:ascii="宋体" w:hAnsi="宋体" w:eastAsia="宋体" w:cs="宋体"/>
                <w:snapToGrid/>
                <w:kern w:val="2"/>
                <w:szCs w:val="22"/>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00" w:type="dxa"/>
            <w:noWrap w:val="0"/>
            <w:vAlign w:val="center"/>
          </w:tcPr>
          <w:p w14:paraId="38D666CC">
            <w:pPr>
              <w:widowControl w:val="0"/>
              <w:kinsoku/>
              <w:autoSpaceDE/>
              <w:autoSpaceDN/>
              <w:adjustRightInd/>
              <w:snapToGrid/>
              <w:spacing w:after="160" w:line="278" w:lineRule="auto"/>
              <w:jc w:val="center"/>
              <w:textAlignment w:val="auto"/>
              <w:rPr>
                <w:rFonts w:hint="default"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val="en-US" w:eastAsia="zh-CN"/>
              </w:rPr>
              <w:t>30分</w:t>
            </w:r>
          </w:p>
        </w:tc>
      </w:tr>
      <w:tr w14:paraId="069B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2B3797E6">
            <w:pPr>
              <w:widowControl w:val="0"/>
              <w:kinsoku/>
              <w:autoSpaceDE/>
              <w:autoSpaceDN/>
              <w:adjustRightInd/>
              <w:snapToGrid/>
              <w:spacing w:after="160" w:line="278" w:lineRule="auto"/>
              <w:jc w:val="center"/>
              <w:textAlignment w:val="auto"/>
              <w:rPr>
                <w:rFonts w:hint="eastAsia" w:ascii="宋体" w:hAnsi="宋体" w:eastAsia="宋体" w:cs="宋体"/>
                <w:bCs/>
                <w:snapToGrid/>
                <w:kern w:val="2"/>
                <w:sz w:val="21"/>
                <w:szCs w:val="21"/>
                <w:lang w:eastAsia="zh-CN"/>
              </w:rPr>
            </w:pPr>
            <w:r>
              <w:rPr>
                <w:rFonts w:hint="eastAsia" w:ascii="宋体" w:hAnsi="宋体" w:eastAsia="宋体" w:cs="宋体"/>
                <w:bCs/>
                <w:snapToGrid/>
                <w:kern w:val="2"/>
                <w:sz w:val="21"/>
                <w:szCs w:val="21"/>
                <w:lang w:eastAsia="zh-CN"/>
              </w:rPr>
              <w:t>技术响应程度</w:t>
            </w:r>
          </w:p>
        </w:tc>
        <w:tc>
          <w:tcPr>
            <w:tcW w:w="7590" w:type="dxa"/>
            <w:noWrap w:val="0"/>
            <w:vAlign w:val="center"/>
          </w:tcPr>
          <w:p w14:paraId="141217F9">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全部满足项目需求带“▲”条款要求的得</w:t>
            </w:r>
            <w:r>
              <w:rPr>
                <w:rFonts w:hint="eastAsia" w:ascii="宋体" w:hAnsi="宋体" w:eastAsia="宋体" w:cs="宋体"/>
                <w:snapToGrid/>
                <w:kern w:val="2"/>
                <w:szCs w:val="22"/>
                <w:lang w:val="en-US" w:eastAsia="zh-CN"/>
              </w:rPr>
              <w:t>30</w:t>
            </w:r>
            <w:r>
              <w:rPr>
                <w:rFonts w:hint="eastAsia" w:ascii="宋体" w:hAnsi="宋体" w:eastAsia="宋体" w:cs="宋体"/>
                <w:snapToGrid/>
                <w:kern w:val="2"/>
                <w:szCs w:val="22"/>
                <w:lang w:eastAsia="zh-CN"/>
              </w:rPr>
              <w:t>分，正偏离不加分，带“▲”条款有一项指标负偏离的扣</w:t>
            </w:r>
            <w:r>
              <w:rPr>
                <w:rFonts w:hint="eastAsia" w:ascii="宋体" w:hAnsi="宋体" w:eastAsia="宋体" w:cs="宋体"/>
                <w:snapToGrid/>
                <w:kern w:val="2"/>
                <w:szCs w:val="22"/>
                <w:lang w:val="en-US" w:eastAsia="zh-CN"/>
              </w:rPr>
              <w:t>2</w:t>
            </w:r>
            <w:r>
              <w:rPr>
                <w:rFonts w:hint="eastAsia" w:ascii="宋体" w:hAnsi="宋体" w:eastAsia="宋体" w:cs="宋体"/>
                <w:snapToGrid/>
                <w:kern w:val="2"/>
                <w:szCs w:val="22"/>
                <w:lang w:eastAsia="zh-CN"/>
              </w:rPr>
              <w:t>分，扣完为止。</w:t>
            </w:r>
          </w:p>
          <w:p w14:paraId="3383BDF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注：▲项需根据要求提供相应证明材料，不提供或者提供不完全满足要求则视为负偏离。</w:t>
            </w:r>
          </w:p>
        </w:tc>
        <w:tc>
          <w:tcPr>
            <w:tcW w:w="900" w:type="dxa"/>
            <w:noWrap w:val="0"/>
            <w:vAlign w:val="center"/>
          </w:tcPr>
          <w:p w14:paraId="78173520">
            <w:pPr>
              <w:widowControl w:val="0"/>
              <w:kinsoku/>
              <w:autoSpaceDE/>
              <w:autoSpaceDN/>
              <w:adjustRightInd/>
              <w:snapToGrid/>
              <w:spacing w:after="160" w:line="278" w:lineRule="auto"/>
              <w:jc w:val="center"/>
              <w:textAlignment w:val="auto"/>
              <w:rPr>
                <w:rFonts w:hint="eastAsia"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eastAsia="zh-CN"/>
              </w:rPr>
              <w:t>30</w:t>
            </w:r>
            <w:r>
              <w:rPr>
                <w:rFonts w:hint="eastAsia" w:ascii="宋体" w:hAnsi="宋体" w:eastAsia="宋体" w:cs="宋体"/>
                <w:bCs/>
                <w:snapToGrid/>
                <w:kern w:val="2"/>
                <w:sz w:val="21"/>
                <w:szCs w:val="21"/>
                <w:lang w:val="en-US" w:eastAsia="zh-CN"/>
              </w:rPr>
              <w:t>分</w:t>
            </w:r>
          </w:p>
        </w:tc>
      </w:tr>
      <w:tr w14:paraId="0F06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2E01ACD">
            <w:pPr>
              <w:widowControl w:val="0"/>
              <w:kinsoku/>
              <w:autoSpaceDE/>
              <w:autoSpaceDN/>
              <w:adjustRightInd/>
              <w:snapToGrid/>
              <w:spacing w:after="160" w:line="278" w:lineRule="auto"/>
              <w:jc w:val="center"/>
              <w:textAlignment w:val="auto"/>
              <w:rPr>
                <w:rFonts w:hint="eastAsia" w:ascii="宋体" w:hAnsi="宋体" w:eastAsia="宋体" w:cs="宋体"/>
                <w:bCs/>
                <w:snapToGrid/>
                <w:kern w:val="2"/>
                <w:sz w:val="21"/>
                <w:szCs w:val="21"/>
                <w:lang w:eastAsia="zh-CN"/>
              </w:rPr>
            </w:pPr>
            <w:r>
              <w:rPr>
                <w:rFonts w:hint="eastAsia" w:ascii="宋体" w:hAnsi="宋体" w:eastAsia="宋体" w:cs="宋体"/>
                <w:bCs/>
                <w:snapToGrid/>
                <w:kern w:val="2"/>
                <w:sz w:val="21"/>
                <w:szCs w:val="21"/>
                <w:lang w:eastAsia="zh-CN"/>
              </w:rPr>
              <w:t>售后服务方案</w:t>
            </w:r>
          </w:p>
        </w:tc>
        <w:tc>
          <w:tcPr>
            <w:tcW w:w="7590" w:type="dxa"/>
            <w:noWrap w:val="0"/>
            <w:vAlign w:val="center"/>
          </w:tcPr>
          <w:p w14:paraId="32A05932">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响应单位针对本项目提供售后服务方案，包括但不限于售后服务承诺、保障措施及计划、服务人员及服务方式等方面。</w:t>
            </w:r>
          </w:p>
          <w:p w14:paraId="7D96363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1.</w:t>
            </w:r>
            <w:r>
              <w:rPr>
                <w:rFonts w:hint="eastAsia" w:ascii="宋体" w:hAnsi="宋体" w:eastAsia="宋体" w:cs="宋体"/>
                <w:snapToGrid/>
                <w:kern w:val="2"/>
                <w:szCs w:val="22"/>
                <w:lang w:eastAsia="zh-CN"/>
              </w:rPr>
              <w:t>方案完整详细、思路清晰，措施有效扎实，有针对性，得12分；</w:t>
            </w:r>
          </w:p>
          <w:p w14:paraId="7967F74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2.</w:t>
            </w:r>
            <w:r>
              <w:rPr>
                <w:rFonts w:hint="eastAsia" w:ascii="宋体" w:hAnsi="宋体" w:eastAsia="宋体" w:cs="宋体"/>
                <w:snapToGrid/>
                <w:kern w:val="2"/>
                <w:szCs w:val="22"/>
                <w:lang w:eastAsia="zh-CN"/>
              </w:rPr>
              <w:t>方案较为完整，措施有一定的可行性，较有针对性，得8分；</w:t>
            </w:r>
          </w:p>
          <w:p w14:paraId="5D1A2A5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3.</w:t>
            </w:r>
            <w:r>
              <w:rPr>
                <w:rFonts w:hint="eastAsia" w:ascii="宋体" w:hAnsi="宋体" w:eastAsia="宋体" w:cs="宋体"/>
                <w:snapToGrid/>
                <w:kern w:val="2"/>
                <w:szCs w:val="22"/>
                <w:lang w:eastAsia="zh-CN"/>
              </w:rPr>
              <w:t>方案不够详细，有明显缺陷，得4分；</w:t>
            </w:r>
          </w:p>
          <w:p w14:paraId="60259943">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4.</w:t>
            </w:r>
            <w:r>
              <w:rPr>
                <w:rFonts w:hint="eastAsia" w:ascii="宋体" w:hAnsi="宋体" w:eastAsia="宋体" w:cs="宋体"/>
                <w:snapToGrid/>
                <w:kern w:val="2"/>
                <w:szCs w:val="22"/>
                <w:lang w:eastAsia="zh-CN"/>
              </w:rPr>
              <w:t>未提供</w:t>
            </w:r>
            <w:r>
              <w:rPr>
                <w:rFonts w:hint="eastAsia" w:ascii="宋体" w:hAnsi="宋体" w:eastAsia="宋体" w:cs="宋体"/>
                <w:snapToGrid/>
                <w:kern w:val="2"/>
                <w:szCs w:val="22"/>
                <w:lang w:val="en-US" w:eastAsia="zh-CN"/>
              </w:rPr>
              <w:t>售后服务方案的</w:t>
            </w:r>
            <w:r>
              <w:rPr>
                <w:rFonts w:hint="eastAsia" w:ascii="宋体" w:hAnsi="宋体" w:eastAsia="宋体" w:cs="宋体"/>
                <w:snapToGrid/>
                <w:kern w:val="2"/>
                <w:szCs w:val="22"/>
                <w:lang w:eastAsia="zh-CN"/>
              </w:rPr>
              <w:t>不得分。</w:t>
            </w:r>
          </w:p>
        </w:tc>
        <w:tc>
          <w:tcPr>
            <w:tcW w:w="900" w:type="dxa"/>
            <w:noWrap w:val="0"/>
            <w:vAlign w:val="center"/>
          </w:tcPr>
          <w:p w14:paraId="5D051A31">
            <w:pPr>
              <w:widowControl w:val="0"/>
              <w:kinsoku/>
              <w:autoSpaceDE/>
              <w:autoSpaceDN/>
              <w:adjustRightInd/>
              <w:snapToGrid/>
              <w:spacing w:after="160" w:line="278" w:lineRule="auto"/>
              <w:jc w:val="center"/>
              <w:textAlignment w:val="auto"/>
              <w:rPr>
                <w:rFonts w:hint="default"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val="en-US" w:eastAsia="zh-CN"/>
              </w:rPr>
              <w:t>12分</w:t>
            </w:r>
          </w:p>
        </w:tc>
      </w:tr>
      <w:tr w14:paraId="1DD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57DB5535">
            <w:pPr>
              <w:widowControl w:val="0"/>
              <w:kinsoku/>
              <w:autoSpaceDE/>
              <w:autoSpaceDN/>
              <w:adjustRightInd/>
              <w:snapToGrid/>
              <w:spacing w:after="160" w:line="278" w:lineRule="auto"/>
              <w:jc w:val="center"/>
              <w:textAlignment w:val="auto"/>
              <w:rPr>
                <w:rFonts w:hint="eastAsia" w:ascii="宋体" w:hAnsi="宋体" w:eastAsia="宋体" w:cs="宋体"/>
                <w:bCs/>
                <w:snapToGrid/>
                <w:kern w:val="2"/>
                <w:sz w:val="21"/>
                <w:szCs w:val="21"/>
                <w:lang w:eastAsia="zh-CN"/>
              </w:rPr>
            </w:pPr>
            <w:r>
              <w:rPr>
                <w:rFonts w:hint="eastAsia" w:ascii="宋体" w:hAnsi="宋体" w:eastAsia="宋体" w:cs="宋体"/>
                <w:bCs/>
                <w:snapToGrid/>
                <w:kern w:val="2"/>
                <w:sz w:val="21"/>
                <w:szCs w:val="21"/>
                <w:lang w:eastAsia="zh-CN"/>
              </w:rPr>
              <w:t>培训服务方案</w:t>
            </w:r>
          </w:p>
        </w:tc>
        <w:tc>
          <w:tcPr>
            <w:tcW w:w="7590" w:type="dxa"/>
            <w:noWrap w:val="0"/>
            <w:vAlign w:val="center"/>
          </w:tcPr>
          <w:p w14:paraId="7FB83001">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响应单位针对本项目提供培训服务方案，包括培训流程、培训方式、培训对象、培训内容、培训日程等。</w:t>
            </w:r>
          </w:p>
          <w:p w14:paraId="3EE24C2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1.</w:t>
            </w:r>
            <w:r>
              <w:rPr>
                <w:rFonts w:hint="eastAsia" w:ascii="宋体" w:hAnsi="宋体" w:eastAsia="宋体" w:cs="宋体"/>
                <w:snapToGrid/>
                <w:kern w:val="2"/>
                <w:szCs w:val="22"/>
                <w:lang w:eastAsia="zh-CN"/>
              </w:rPr>
              <w:t>方案内容详细完整，能贴合采购人需求，合理可行、针对性强，得</w:t>
            </w:r>
            <w:r>
              <w:rPr>
                <w:rFonts w:hint="eastAsia" w:ascii="宋体" w:hAnsi="宋体" w:eastAsia="宋体" w:cs="宋体"/>
                <w:snapToGrid/>
                <w:kern w:val="2"/>
                <w:szCs w:val="22"/>
                <w:lang w:val="en-US" w:eastAsia="zh-CN"/>
              </w:rPr>
              <w:t>10</w:t>
            </w:r>
            <w:r>
              <w:rPr>
                <w:rFonts w:hint="eastAsia" w:ascii="宋体" w:hAnsi="宋体" w:eastAsia="宋体" w:cs="宋体"/>
                <w:snapToGrid/>
                <w:kern w:val="2"/>
                <w:szCs w:val="22"/>
                <w:lang w:eastAsia="zh-CN"/>
              </w:rPr>
              <w:t>分；</w:t>
            </w:r>
          </w:p>
          <w:p w14:paraId="0D604FAA">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2.</w:t>
            </w:r>
            <w:r>
              <w:rPr>
                <w:rFonts w:hint="eastAsia" w:ascii="宋体" w:hAnsi="宋体" w:eastAsia="宋体" w:cs="宋体"/>
                <w:snapToGrid/>
                <w:kern w:val="2"/>
                <w:szCs w:val="22"/>
                <w:lang w:eastAsia="zh-CN"/>
              </w:rPr>
              <w:t>方案内容较为基本完整，但表述一般，具有一定的合理性、可行性、针对性的，得</w:t>
            </w:r>
            <w:r>
              <w:rPr>
                <w:rFonts w:hint="eastAsia" w:ascii="宋体" w:hAnsi="宋体" w:eastAsia="宋体" w:cs="宋体"/>
                <w:snapToGrid/>
                <w:kern w:val="2"/>
                <w:szCs w:val="22"/>
                <w:lang w:val="en-US" w:eastAsia="zh-CN"/>
              </w:rPr>
              <w:t>7</w:t>
            </w:r>
            <w:r>
              <w:rPr>
                <w:rFonts w:hint="eastAsia" w:ascii="宋体" w:hAnsi="宋体" w:eastAsia="宋体" w:cs="宋体"/>
                <w:snapToGrid/>
                <w:kern w:val="2"/>
                <w:szCs w:val="22"/>
                <w:lang w:eastAsia="zh-CN"/>
              </w:rPr>
              <w:t>分；</w:t>
            </w:r>
          </w:p>
          <w:p w14:paraId="37A228C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3.</w:t>
            </w:r>
            <w:r>
              <w:rPr>
                <w:rFonts w:hint="eastAsia" w:ascii="宋体" w:hAnsi="宋体" w:eastAsia="宋体" w:cs="宋体"/>
                <w:snapToGrid/>
                <w:kern w:val="2"/>
                <w:szCs w:val="22"/>
                <w:lang w:eastAsia="zh-CN"/>
              </w:rPr>
              <w:t>方案内容有缺失，但能基本贴合采购人需求，合理性、可行性、针对性一般,得</w:t>
            </w:r>
            <w:r>
              <w:rPr>
                <w:rFonts w:hint="eastAsia" w:ascii="宋体" w:hAnsi="宋体" w:eastAsia="宋体" w:cs="宋体"/>
                <w:snapToGrid/>
                <w:kern w:val="2"/>
                <w:szCs w:val="22"/>
                <w:lang w:val="en-US" w:eastAsia="zh-CN"/>
              </w:rPr>
              <w:t>4</w:t>
            </w:r>
            <w:r>
              <w:rPr>
                <w:rFonts w:hint="eastAsia" w:ascii="宋体" w:hAnsi="宋体" w:eastAsia="宋体" w:cs="宋体"/>
                <w:snapToGrid/>
                <w:kern w:val="2"/>
                <w:szCs w:val="22"/>
                <w:lang w:eastAsia="zh-CN"/>
              </w:rPr>
              <w:t>分；</w:t>
            </w:r>
          </w:p>
          <w:p w14:paraId="7FEBEBC8">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4.</w:t>
            </w:r>
            <w:r>
              <w:rPr>
                <w:rFonts w:hint="eastAsia" w:ascii="宋体" w:hAnsi="宋体" w:eastAsia="宋体" w:cs="宋体"/>
                <w:snapToGrid/>
                <w:kern w:val="2"/>
                <w:szCs w:val="22"/>
                <w:lang w:eastAsia="zh-CN"/>
              </w:rPr>
              <w:t>未提供</w:t>
            </w:r>
            <w:r>
              <w:rPr>
                <w:rFonts w:hint="eastAsia" w:ascii="宋体" w:hAnsi="宋体" w:eastAsia="宋体" w:cs="宋体"/>
                <w:snapToGrid/>
                <w:kern w:val="2"/>
                <w:szCs w:val="22"/>
                <w:lang w:val="en-US" w:eastAsia="zh-CN"/>
              </w:rPr>
              <w:t>培训服务方案的</w:t>
            </w:r>
            <w:r>
              <w:rPr>
                <w:rFonts w:hint="eastAsia" w:ascii="宋体" w:hAnsi="宋体" w:eastAsia="宋体" w:cs="宋体"/>
                <w:snapToGrid/>
                <w:kern w:val="2"/>
                <w:szCs w:val="22"/>
                <w:lang w:eastAsia="zh-CN"/>
              </w:rPr>
              <w:t>不得分。</w:t>
            </w:r>
          </w:p>
        </w:tc>
        <w:tc>
          <w:tcPr>
            <w:tcW w:w="900" w:type="dxa"/>
            <w:noWrap w:val="0"/>
            <w:vAlign w:val="center"/>
          </w:tcPr>
          <w:p w14:paraId="46C972DB">
            <w:pPr>
              <w:widowControl w:val="0"/>
              <w:kinsoku/>
              <w:autoSpaceDE/>
              <w:autoSpaceDN/>
              <w:adjustRightInd/>
              <w:snapToGrid/>
              <w:spacing w:after="160" w:line="278" w:lineRule="auto"/>
              <w:jc w:val="center"/>
              <w:textAlignment w:val="auto"/>
              <w:rPr>
                <w:rFonts w:hint="default"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val="en-US" w:eastAsia="zh-CN"/>
              </w:rPr>
              <w:t>10分</w:t>
            </w:r>
          </w:p>
        </w:tc>
      </w:tr>
      <w:tr w14:paraId="158A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44C78A45">
            <w:pPr>
              <w:widowControl w:val="0"/>
              <w:kinsoku/>
              <w:autoSpaceDE/>
              <w:autoSpaceDN/>
              <w:adjustRightInd/>
              <w:snapToGrid/>
              <w:spacing w:after="160" w:line="278" w:lineRule="auto"/>
              <w:jc w:val="center"/>
              <w:textAlignment w:val="auto"/>
              <w:rPr>
                <w:rFonts w:hint="eastAsia" w:ascii="宋体" w:hAnsi="宋体" w:eastAsia="宋体" w:cs="宋体"/>
                <w:bCs/>
                <w:snapToGrid/>
                <w:kern w:val="2"/>
                <w:sz w:val="21"/>
                <w:szCs w:val="21"/>
                <w:lang w:eastAsia="zh-CN"/>
              </w:rPr>
            </w:pPr>
            <w:r>
              <w:rPr>
                <w:rFonts w:hint="eastAsia" w:ascii="宋体" w:hAnsi="宋体" w:eastAsia="宋体" w:cs="宋体"/>
                <w:bCs/>
                <w:snapToGrid/>
                <w:kern w:val="2"/>
                <w:sz w:val="21"/>
                <w:szCs w:val="21"/>
                <w:lang w:eastAsia="zh-CN"/>
              </w:rPr>
              <w:t>应急服务方案</w:t>
            </w:r>
          </w:p>
        </w:tc>
        <w:tc>
          <w:tcPr>
            <w:tcW w:w="7590" w:type="dxa"/>
            <w:noWrap w:val="0"/>
            <w:vAlign w:val="center"/>
          </w:tcPr>
          <w:p w14:paraId="2F4DFA10">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eastAsia="zh-CN"/>
              </w:rPr>
              <w:t>响应单位针对本项目提供应急服务方案，包括但不限于应急风险分析、应急响应预案等。</w:t>
            </w:r>
          </w:p>
          <w:p w14:paraId="249863B4">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1.</w:t>
            </w:r>
            <w:r>
              <w:rPr>
                <w:rFonts w:hint="eastAsia" w:ascii="宋体" w:hAnsi="宋体" w:eastAsia="宋体" w:cs="宋体"/>
                <w:snapToGrid/>
                <w:kern w:val="2"/>
                <w:szCs w:val="22"/>
                <w:lang w:eastAsia="zh-CN"/>
              </w:rPr>
              <w:t>方案完整详细、思路清晰，措施有效扎实，有针对性，得12分；</w:t>
            </w:r>
          </w:p>
          <w:p w14:paraId="0B11B0B7">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2.</w:t>
            </w:r>
            <w:r>
              <w:rPr>
                <w:rFonts w:hint="eastAsia" w:ascii="宋体" w:hAnsi="宋体" w:eastAsia="宋体" w:cs="宋体"/>
                <w:snapToGrid/>
                <w:kern w:val="2"/>
                <w:szCs w:val="22"/>
                <w:lang w:eastAsia="zh-CN"/>
              </w:rPr>
              <w:t>方案较为完整，措施有一定的可行性，较有针对性，得8分；</w:t>
            </w:r>
          </w:p>
          <w:p w14:paraId="467FA5AC">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3.</w:t>
            </w:r>
            <w:r>
              <w:rPr>
                <w:rFonts w:hint="eastAsia" w:ascii="宋体" w:hAnsi="宋体" w:eastAsia="宋体" w:cs="宋体"/>
                <w:snapToGrid/>
                <w:kern w:val="2"/>
                <w:szCs w:val="22"/>
                <w:lang w:eastAsia="zh-CN"/>
              </w:rPr>
              <w:t>方案不够详细，有明显缺陷，得4分；</w:t>
            </w:r>
          </w:p>
          <w:p w14:paraId="1B02250E">
            <w:pPr>
              <w:widowControl w:val="0"/>
              <w:kinsoku/>
              <w:autoSpaceDE/>
              <w:autoSpaceDN/>
              <w:bidi w:val="0"/>
              <w:adjustRightInd/>
              <w:snapToGrid/>
              <w:spacing w:line="360" w:lineRule="auto"/>
              <w:jc w:val="both"/>
              <w:textAlignment w:val="auto"/>
              <w:rPr>
                <w:rFonts w:hint="eastAsia" w:ascii="宋体" w:hAnsi="宋体" w:eastAsia="宋体" w:cs="宋体"/>
                <w:snapToGrid/>
                <w:kern w:val="2"/>
                <w:szCs w:val="22"/>
                <w:lang w:eastAsia="zh-CN"/>
              </w:rPr>
            </w:pPr>
            <w:r>
              <w:rPr>
                <w:rFonts w:hint="eastAsia" w:ascii="宋体" w:hAnsi="宋体" w:eastAsia="宋体" w:cs="宋体"/>
                <w:snapToGrid/>
                <w:kern w:val="2"/>
                <w:szCs w:val="22"/>
                <w:lang w:val="en-US" w:eastAsia="zh-CN"/>
              </w:rPr>
              <w:t>4、</w:t>
            </w:r>
            <w:r>
              <w:rPr>
                <w:rFonts w:hint="eastAsia" w:ascii="宋体" w:hAnsi="宋体" w:eastAsia="宋体" w:cs="宋体"/>
                <w:snapToGrid/>
                <w:kern w:val="2"/>
                <w:szCs w:val="22"/>
                <w:lang w:eastAsia="zh-CN"/>
              </w:rPr>
              <w:t>未提供</w:t>
            </w:r>
            <w:r>
              <w:rPr>
                <w:rFonts w:hint="eastAsia" w:ascii="宋体" w:hAnsi="宋体" w:eastAsia="宋体" w:cs="宋体"/>
                <w:snapToGrid/>
                <w:kern w:val="2"/>
                <w:szCs w:val="22"/>
                <w:lang w:val="en-US" w:eastAsia="zh-CN"/>
              </w:rPr>
              <w:t>应急服务方案的</w:t>
            </w:r>
            <w:r>
              <w:rPr>
                <w:rFonts w:hint="eastAsia" w:ascii="宋体" w:hAnsi="宋体" w:eastAsia="宋体" w:cs="宋体"/>
                <w:snapToGrid/>
                <w:kern w:val="2"/>
                <w:szCs w:val="22"/>
                <w:lang w:eastAsia="zh-CN"/>
              </w:rPr>
              <w:t>不得分。</w:t>
            </w:r>
          </w:p>
        </w:tc>
        <w:tc>
          <w:tcPr>
            <w:tcW w:w="900" w:type="dxa"/>
            <w:noWrap w:val="0"/>
            <w:vAlign w:val="center"/>
          </w:tcPr>
          <w:p w14:paraId="2134CD9B">
            <w:pPr>
              <w:widowControl w:val="0"/>
              <w:kinsoku/>
              <w:autoSpaceDE/>
              <w:autoSpaceDN/>
              <w:adjustRightInd/>
              <w:snapToGrid/>
              <w:spacing w:after="160" w:line="278" w:lineRule="auto"/>
              <w:jc w:val="center"/>
              <w:textAlignment w:val="auto"/>
              <w:rPr>
                <w:rFonts w:hint="default"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val="en-US" w:eastAsia="zh-CN"/>
              </w:rPr>
              <w:t>12分</w:t>
            </w:r>
          </w:p>
        </w:tc>
      </w:tr>
      <w:tr w14:paraId="4389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 w:type="dxa"/>
            <w:noWrap w:val="0"/>
            <w:vAlign w:val="center"/>
          </w:tcPr>
          <w:p w14:paraId="6879E6D6">
            <w:pPr>
              <w:widowControl w:val="0"/>
              <w:kinsoku/>
              <w:autoSpaceDE/>
              <w:autoSpaceDN/>
              <w:bidi w:val="0"/>
              <w:adjustRightInd/>
              <w:snapToGrid/>
              <w:spacing w:line="360" w:lineRule="auto"/>
              <w:jc w:val="center"/>
              <w:textAlignment w:val="auto"/>
              <w:rPr>
                <w:rFonts w:hint="eastAsia" w:ascii="Times New Roman" w:hAnsi="Times New Roman" w:eastAsia="宋体" w:cs="Times New Roman"/>
                <w:snapToGrid/>
                <w:kern w:val="2"/>
                <w:szCs w:val="22"/>
                <w:lang w:eastAsia="zh-CN"/>
              </w:rPr>
            </w:pPr>
            <w:r>
              <w:rPr>
                <w:rFonts w:hint="eastAsia" w:ascii="Times New Roman" w:hAnsi="Times New Roman" w:eastAsia="宋体" w:cs="Times New Roman"/>
                <w:snapToGrid/>
                <w:kern w:val="2"/>
                <w:szCs w:val="22"/>
                <w:lang w:eastAsia="zh-CN"/>
              </w:rPr>
              <w:t>类似</w:t>
            </w:r>
          </w:p>
          <w:p w14:paraId="0CB9713C">
            <w:pPr>
              <w:widowControl w:val="0"/>
              <w:kinsoku/>
              <w:autoSpaceDE/>
              <w:autoSpaceDN/>
              <w:bidi w:val="0"/>
              <w:adjustRightInd/>
              <w:snapToGrid/>
              <w:spacing w:line="360" w:lineRule="auto"/>
              <w:jc w:val="center"/>
              <w:textAlignment w:val="auto"/>
              <w:rPr>
                <w:rFonts w:hint="eastAsia" w:ascii="Times New Roman" w:hAnsi="Times New Roman" w:eastAsia="宋体" w:cs="Times New Roman"/>
                <w:snapToGrid/>
                <w:kern w:val="2"/>
                <w:szCs w:val="22"/>
                <w:lang w:eastAsia="zh-CN"/>
              </w:rPr>
            </w:pPr>
            <w:r>
              <w:rPr>
                <w:rFonts w:hint="eastAsia" w:ascii="Times New Roman" w:hAnsi="Times New Roman" w:eastAsia="宋体" w:cs="Times New Roman"/>
                <w:snapToGrid/>
                <w:kern w:val="2"/>
                <w:szCs w:val="22"/>
                <w:lang w:eastAsia="zh-CN"/>
              </w:rPr>
              <w:t>业绩</w:t>
            </w:r>
          </w:p>
        </w:tc>
        <w:tc>
          <w:tcPr>
            <w:tcW w:w="7590" w:type="dxa"/>
            <w:noWrap w:val="0"/>
            <w:vAlign w:val="center"/>
          </w:tcPr>
          <w:p w14:paraId="3FBEEC6B">
            <w:pPr>
              <w:widowControl w:val="0"/>
              <w:kinsoku/>
              <w:autoSpaceDE/>
              <w:autoSpaceDN/>
              <w:adjustRightInd/>
              <w:snapToGrid/>
              <w:spacing w:line="360" w:lineRule="auto"/>
              <w:jc w:val="both"/>
              <w:textAlignment w:val="auto"/>
              <w:rPr>
                <w:rFonts w:hint="eastAsia" w:ascii="宋体" w:hAnsi="宋体" w:eastAsia="宋体" w:cs="宋体"/>
                <w:bCs/>
                <w:snapToGrid/>
                <w:kern w:val="2"/>
                <w:sz w:val="21"/>
                <w:szCs w:val="21"/>
                <w:lang w:eastAsia="zh-CN"/>
              </w:rPr>
            </w:pPr>
            <w:r>
              <w:rPr>
                <w:rFonts w:hint="eastAsia" w:ascii="宋体" w:hAnsi="宋体" w:eastAsia="宋体" w:cs="宋体"/>
                <w:bCs/>
                <w:snapToGrid/>
                <w:kern w:val="2"/>
                <w:sz w:val="21"/>
                <w:szCs w:val="21"/>
                <w:lang w:eastAsia="zh-CN"/>
              </w:rPr>
              <w:t>响应单位自202</w:t>
            </w:r>
            <w:r>
              <w:rPr>
                <w:rFonts w:hint="eastAsia" w:ascii="宋体" w:hAnsi="宋体" w:eastAsia="宋体" w:cs="宋体"/>
                <w:bCs/>
                <w:snapToGrid/>
                <w:kern w:val="2"/>
                <w:sz w:val="21"/>
                <w:szCs w:val="21"/>
                <w:lang w:val="en-US" w:eastAsia="zh-CN"/>
              </w:rPr>
              <w:t>2</w:t>
            </w:r>
            <w:r>
              <w:rPr>
                <w:rFonts w:hint="eastAsia" w:ascii="宋体" w:hAnsi="宋体" w:eastAsia="宋体" w:cs="宋体"/>
                <w:bCs/>
                <w:snapToGrid/>
                <w:kern w:val="2"/>
                <w:sz w:val="21"/>
                <w:szCs w:val="21"/>
                <w:lang w:eastAsia="zh-CN"/>
              </w:rPr>
              <w:t>年1月1日至今（以合同签订时间为准）具有类似项目业绩的，有一份得3分，最高得6分。</w:t>
            </w:r>
          </w:p>
          <w:p w14:paraId="7DD365FB">
            <w:pPr>
              <w:widowControl w:val="0"/>
              <w:kinsoku/>
              <w:autoSpaceDE/>
              <w:autoSpaceDN/>
              <w:adjustRightInd/>
              <w:snapToGrid/>
              <w:spacing w:line="360" w:lineRule="auto"/>
              <w:jc w:val="both"/>
              <w:textAlignment w:val="auto"/>
              <w:rPr>
                <w:rFonts w:hint="eastAsia" w:ascii="宋体" w:hAnsi="宋体" w:eastAsia="宋体" w:cs="宋体"/>
                <w:snapToGrid/>
                <w:kern w:val="2"/>
                <w:sz w:val="21"/>
                <w:szCs w:val="21"/>
                <w:lang w:val="en-US" w:eastAsia="zh-CN"/>
              </w:rPr>
            </w:pPr>
            <w:r>
              <w:rPr>
                <w:rFonts w:hint="eastAsia" w:ascii="宋体" w:hAnsi="宋体" w:eastAsia="宋体" w:cs="宋体"/>
                <w:b/>
                <w:bCs w:val="0"/>
                <w:snapToGrid/>
                <w:kern w:val="2"/>
                <w:sz w:val="21"/>
                <w:szCs w:val="21"/>
                <w:lang w:val="en-US" w:eastAsia="zh-CN"/>
              </w:rPr>
              <w:t>注：</w:t>
            </w:r>
            <w:r>
              <w:rPr>
                <w:rFonts w:hint="eastAsia" w:ascii="宋体" w:hAnsi="宋体" w:eastAsia="宋体" w:cs="宋体"/>
                <w:b/>
                <w:bCs w:val="0"/>
                <w:snapToGrid/>
                <w:kern w:val="2"/>
                <w:sz w:val="21"/>
                <w:szCs w:val="21"/>
                <w:lang w:eastAsia="zh-CN"/>
              </w:rPr>
              <w:t>响应文件中提供相关完整合同扫描件，未提供或提供不全的不得分。</w:t>
            </w:r>
          </w:p>
        </w:tc>
        <w:tc>
          <w:tcPr>
            <w:tcW w:w="900" w:type="dxa"/>
            <w:noWrap w:val="0"/>
            <w:vAlign w:val="center"/>
          </w:tcPr>
          <w:p w14:paraId="17D8B6DA">
            <w:pPr>
              <w:widowControl w:val="0"/>
              <w:kinsoku/>
              <w:autoSpaceDE/>
              <w:autoSpaceDN/>
              <w:adjustRightInd/>
              <w:snapToGrid/>
              <w:spacing w:after="160" w:line="278" w:lineRule="auto"/>
              <w:jc w:val="center"/>
              <w:textAlignment w:val="auto"/>
              <w:rPr>
                <w:rFonts w:hint="default" w:ascii="宋体" w:hAnsi="宋体" w:eastAsia="宋体" w:cs="宋体"/>
                <w:bCs/>
                <w:snapToGrid/>
                <w:kern w:val="2"/>
                <w:sz w:val="21"/>
                <w:szCs w:val="21"/>
                <w:lang w:val="en-US" w:eastAsia="zh-CN"/>
              </w:rPr>
            </w:pPr>
            <w:r>
              <w:rPr>
                <w:rFonts w:hint="eastAsia" w:ascii="宋体" w:hAnsi="宋体" w:eastAsia="宋体" w:cs="宋体"/>
                <w:bCs/>
                <w:snapToGrid/>
                <w:kern w:val="2"/>
                <w:sz w:val="21"/>
                <w:szCs w:val="21"/>
                <w:lang w:val="en-US" w:eastAsia="zh-CN"/>
              </w:rPr>
              <w:t>6分</w:t>
            </w:r>
          </w:p>
        </w:tc>
      </w:tr>
      <w:bookmarkEnd w:id="1"/>
    </w:tbl>
    <w:p w14:paraId="3B3970A9">
      <w:pPr>
        <w:tabs>
          <w:tab w:val="left" w:pos="6141"/>
        </w:tabs>
        <w:bidi w:val="0"/>
        <w:jc w:val="both"/>
        <w:rPr>
          <w:rFonts w:hint="default" w:ascii="宋体" w:hAnsi="宋体" w:eastAsia="宋体" w:cs="宋体"/>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2DF8">
    <w:pPr>
      <w:spacing w:line="220" w:lineRule="auto"/>
      <w:ind w:left="4826" w:firstLine="5072"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62C4">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99362C4">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313FB"/>
    <w:multiLevelType w:val="singleLevel"/>
    <w:tmpl w:val="DC3313FB"/>
    <w:lvl w:ilvl="0" w:tentative="0">
      <w:start w:val="1"/>
      <w:numFmt w:val="decimal"/>
      <w:suff w:val="nothing"/>
      <w:lvlText w:val="%1）"/>
      <w:lvlJc w:val="left"/>
      <w:rPr>
        <w:rFonts w:hint="default"/>
        <w:b w:val="0"/>
        <w:bCs w:val="0"/>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D171A"/>
    <w:rsid w:val="407C11B0"/>
    <w:rsid w:val="62D2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9"/>
    <w:pPr>
      <w:keepNext/>
      <w:keepLines/>
      <w:widowControl w:val="0"/>
      <w:spacing w:line="360" w:lineRule="auto"/>
      <w:jc w:val="both"/>
      <w:outlineLvl w:val="0"/>
    </w:pPr>
    <w:rPr>
      <w:rFonts w:ascii="Times New Roman" w:hAnsi="Times New Roman" w:eastAsia="宋体" w:cs="Times New Roman"/>
      <w:b/>
      <w:bCs/>
      <w:kern w:val="44"/>
      <w:sz w:val="36"/>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普通正文"/>
    <w:qFormat/>
    <w:uiPriority w:val="0"/>
    <w:pPr>
      <w:widowControl w:val="0"/>
      <w:adjustRightInd w:val="0"/>
      <w:spacing w:before="120" w:after="120" w:line="360" w:lineRule="auto"/>
      <w:ind w:firstLine="480"/>
      <w:jc w:val="left"/>
      <w:textAlignment w:val="baseline"/>
    </w:pPr>
    <w:rPr>
      <w:rFonts w:ascii="Arial" w:hAnsi="Arial"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4767</Words>
  <Characters>5257</Characters>
  <Lines>0</Lines>
  <Paragraphs>0</Paragraphs>
  <TotalTime>1</TotalTime>
  <ScaleCrop>false</ScaleCrop>
  <LinksUpToDate>false</LinksUpToDate>
  <CharactersWithSpaces>5844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2025-06-25T06:44:00Z</dcterms:created>
  <dc:creator>Administrator</dc:creator>
  <cp:lastModifiedBy>15949093581</cp:lastModifiedBy>
  <dcterms:modified xsi:type="dcterms:W3CDTF">2025-11-20T03:51:04Z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eyJoZGlkIjoiNjlmNDA4MmIwMGRhNTYwMTdhZjAzODI5MzZkMDM1NmMiLCJ1c2VySWQiOiI3MzYwMTUyMDEifQ==</vt:lpwstr>
  </property>
  <property fmtid="{D5CDD505-2E9C-101B-9397-08002B2CF9AE}" pid="4" name="ICV">
    <vt:lpwstr>CFFD3D49D80848F389F02072B9F14BFA_12</vt:lpwstr>
  </property>
</Properties>
</file>