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DCC3F">
      <w:pPr>
        <w:pStyle w:val="3"/>
        <w:spacing w:line="360" w:lineRule="auto"/>
        <w:jc w:val="center"/>
        <w:rPr>
          <w:rFonts w:ascii="宋体" w:hAnsi="宋体"/>
          <w:color w:val="000000"/>
          <w:sz w:val="36"/>
        </w:rPr>
      </w:pPr>
      <w:r>
        <w:rPr>
          <w:rFonts w:hint="eastAsia" w:ascii="宋体" w:hAnsi="宋体"/>
          <w:color w:val="000000"/>
          <w:sz w:val="36"/>
          <w:lang w:val="en-US" w:eastAsia="zh-CN"/>
        </w:rPr>
        <w:t>一、</w:t>
      </w:r>
      <w:r>
        <w:rPr>
          <w:rFonts w:hint="eastAsia" w:ascii="宋体" w:hAnsi="宋体"/>
          <w:color w:val="000000"/>
          <w:sz w:val="36"/>
        </w:rPr>
        <w:t>项目需求</w:t>
      </w:r>
    </w:p>
    <w:p w14:paraId="719BCEE2">
      <w:pPr>
        <w:pStyle w:val="4"/>
        <w:keepNext w:val="0"/>
        <w:keepLines w:val="0"/>
        <w:pageBreakBefore w:val="0"/>
        <w:widowControl/>
        <w:kinsoku/>
        <w:wordWrap/>
        <w:overflowPunct/>
        <w:topLinePunct w:val="0"/>
        <w:autoSpaceDE w:val="0"/>
        <w:autoSpaceDN/>
        <w:bidi w:val="0"/>
        <w:adjustRightInd w:val="0"/>
        <w:snapToGrid w:val="0"/>
        <w:spacing w:line="360" w:lineRule="auto"/>
        <w:ind w:right="0"/>
        <w:textAlignment w:val="baseline"/>
        <w:rPr>
          <w:rFonts w:hint="default" w:cs="仿宋"/>
          <w:b/>
          <w:bCs/>
          <w:spacing w:val="0"/>
          <w:w w:val="100"/>
          <w:position w:val="0"/>
          <w:sz w:val="28"/>
          <w:szCs w:val="28"/>
          <w:highlight w:val="none"/>
          <w:lang w:val="en-US" w:eastAsia="zh-CN"/>
        </w:rPr>
      </w:pPr>
      <w:r>
        <w:rPr>
          <w:rFonts w:hint="eastAsia" w:cs="仿宋"/>
          <w:b/>
          <w:bCs/>
          <w:spacing w:val="0"/>
          <w:w w:val="100"/>
          <w:position w:val="0"/>
          <w:sz w:val="28"/>
          <w:szCs w:val="28"/>
          <w:highlight w:val="none"/>
          <w:lang w:val="en-US" w:eastAsia="zh-CN"/>
        </w:rPr>
        <w:t>一、项目概况：</w:t>
      </w:r>
    </w:p>
    <w:p w14:paraId="7C248036">
      <w:pPr>
        <w:pStyle w:val="11"/>
        <w:spacing w:line="360" w:lineRule="auto"/>
        <w:ind w:firstLine="480"/>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本次仪征技师学院2025年监控设施租赁服务项目，租赁服务期限为2年。租赁期满，学院对监控服务进行考评决定是否续约。本项目</w:t>
      </w:r>
      <w:r>
        <w:rPr>
          <w:rFonts w:hint="default" w:ascii="仿宋" w:hAnsi="仿宋" w:eastAsia="仿宋" w:cs="仿宋"/>
          <w:b w:val="0"/>
          <w:bCs/>
          <w:color w:val="auto"/>
          <w:sz w:val="28"/>
          <w:szCs w:val="28"/>
          <w:highlight w:val="none"/>
          <w:lang w:val="en-US" w:eastAsia="zh-CN"/>
        </w:rPr>
        <w:t>包含但不限于软件、硬件及设备安装、调试、质保、培训、运维服务及杆件、基础、施工、绿化恢复等内容，拟对以下内容进行采购：</w:t>
      </w:r>
    </w:p>
    <w:p w14:paraId="0C485E37">
      <w:pPr>
        <w:pStyle w:val="11"/>
        <w:spacing w:line="360" w:lineRule="auto"/>
        <w:ind w:firstLine="480"/>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租赁122台高清枪型摄像机、配套云存储、附属设施及运维服务。</w:t>
      </w:r>
    </w:p>
    <w:p w14:paraId="7238B199">
      <w:pPr>
        <w:pStyle w:val="4"/>
        <w:keepNext w:val="0"/>
        <w:keepLines w:val="0"/>
        <w:pageBreakBefore w:val="0"/>
        <w:widowControl/>
        <w:kinsoku/>
        <w:wordWrap/>
        <w:overflowPunct/>
        <w:topLinePunct w:val="0"/>
        <w:autoSpaceDE w:val="0"/>
        <w:autoSpaceDN/>
        <w:bidi w:val="0"/>
        <w:adjustRightInd w:val="0"/>
        <w:snapToGrid w:val="0"/>
        <w:spacing w:line="360" w:lineRule="auto"/>
        <w:ind w:right="0"/>
        <w:textAlignment w:val="baseline"/>
        <w:rPr>
          <w:rFonts w:hint="default" w:cs="仿宋"/>
          <w:b/>
          <w:bCs/>
          <w:spacing w:val="0"/>
          <w:w w:val="100"/>
          <w:position w:val="0"/>
          <w:sz w:val="28"/>
          <w:szCs w:val="28"/>
          <w:highlight w:val="none"/>
          <w:lang w:val="en-US" w:eastAsia="zh-CN"/>
        </w:rPr>
      </w:pPr>
      <w:r>
        <w:rPr>
          <w:rFonts w:hint="default" w:cs="仿宋"/>
          <w:b/>
          <w:bCs/>
          <w:spacing w:val="0"/>
          <w:w w:val="100"/>
          <w:position w:val="0"/>
          <w:sz w:val="28"/>
          <w:szCs w:val="28"/>
          <w:highlight w:val="none"/>
          <w:lang w:val="en-US" w:eastAsia="zh-CN"/>
        </w:rPr>
        <w:t>二、具体建设地点</w:t>
      </w:r>
      <w:r>
        <w:rPr>
          <w:rFonts w:hint="eastAsia" w:cs="仿宋"/>
          <w:b/>
          <w:bCs/>
          <w:spacing w:val="0"/>
          <w:w w:val="100"/>
          <w:position w:val="0"/>
          <w:sz w:val="28"/>
          <w:szCs w:val="28"/>
          <w:highlight w:val="none"/>
          <w:lang w:val="en-US" w:eastAsia="zh-CN"/>
        </w:rPr>
        <w:t>：</w:t>
      </w:r>
    </w:p>
    <w:p w14:paraId="2652A84E">
      <w:pPr>
        <w:pStyle w:val="11"/>
        <w:spacing w:line="360" w:lineRule="auto"/>
        <w:ind w:firstLine="480"/>
        <w:rPr>
          <w:rFonts w:hint="default" w:ascii="仿宋" w:hAnsi="仿宋" w:eastAsia="仿宋" w:cs="仿宋"/>
          <w:b w:val="0"/>
          <w:bCs/>
          <w:color w:val="auto"/>
          <w:sz w:val="28"/>
          <w:szCs w:val="28"/>
          <w:highlight w:val="none"/>
          <w:lang w:val="en-US" w:eastAsia="zh-CN"/>
        </w:rPr>
      </w:pPr>
      <w:r>
        <w:rPr>
          <w:rFonts w:hint="default" w:ascii="仿宋" w:hAnsi="仿宋" w:eastAsia="仿宋" w:cs="仿宋"/>
          <w:b w:val="0"/>
          <w:bCs/>
          <w:color w:val="auto"/>
          <w:sz w:val="28"/>
          <w:szCs w:val="28"/>
          <w:highlight w:val="none"/>
          <w:lang w:val="en-US" w:eastAsia="zh-CN"/>
        </w:rPr>
        <w:t>仪征技师学院范围内，投标人可自行与采购人联系，自行勘查现场后根据所供设备及监控应用场景合理规划具体安装点位。</w:t>
      </w:r>
    </w:p>
    <w:p w14:paraId="0D345C73">
      <w:pPr>
        <w:pStyle w:val="4"/>
        <w:keepNext w:val="0"/>
        <w:keepLines w:val="0"/>
        <w:pageBreakBefore w:val="0"/>
        <w:widowControl/>
        <w:kinsoku/>
        <w:wordWrap/>
        <w:overflowPunct/>
        <w:topLinePunct w:val="0"/>
        <w:autoSpaceDE w:val="0"/>
        <w:autoSpaceDN/>
        <w:bidi w:val="0"/>
        <w:adjustRightInd w:val="0"/>
        <w:snapToGrid w:val="0"/>
        <w:spacing w:line="360" w:lineRule="auto"/>
        <w:ind w:right="0"/>
        <w:textAlignment w:val="baseline"/>
        <w:rPr>
          <w:rFonts w:hint="default" w:cs="仿宋"/>
          <w:b/>
          <w:bCs/>
          <w:spacing w:val="0"/>
          <w:w w:val="100"/>
          <w:position w:val="0"/>
          <w:sz w:val="28"/>
          <w:szCs w:val="28"/>
          <w:highlight w:val="none"/>
          <w:lang w:val="en-US" w:eastAsia="zh-CN"/>
        </w:rPr>
      </w:pPr>
      <w:r>
        <w:rPr>
          <w:rFonts w:hint="eastAsia" w:cs="仿宋"/>
          <w:b/>
          <w:bCs/>
          <w:spacing w:val="0"/>
          <w:w w:val="100"/>
          <w:position w:val="0"/>
          <w:sz w:val="28"/>
          <w:szCs w:val="28"/>
          <w:highlight w:val="none"/>
          <w:lang w:val="en-US" w:eastAsia="zh-CN"/>
        </w:rPr>
        <w:t>三</w:t>
      </w:r>
      <w:r>
        <w:rPr>
          <w:rFonts w:hint="default" w:cs="仿宋"/>
          <w:b/>
          <w:bCs/>
          <w:spacing w:val="0"/>
          <w:w w:val="100"/>
          <w:position w:val="0"/>
          <w:sz w:val="28"/>
          <w:szCs w:val="28"/>
          <w:highlight w:val="none"/>
          <w:lang w:val="en-US" w:eastAsia="zh-CN"/>
        </w:rPr>
        <w:t>、系统技术要求</w:t>
      </w:r>
      <w:r>
        <w:rPr>
          <w:rFonts w:hint="eastAsia" w:cs="仿宋"/>
          <w:b/>
          <w:bCs/>
          <w:spacing w:val="0"/>
          <w:w w:val="100"/>
          <w:position w:val="0"/>
          <w:sz w:val="28"/>
          <w:szCs w:val="28"/>
          <w:highlight w:val="none"/>
          <w:lang w:val="en-US" w:eastAsia="zh-CN"/>
        </w:rPr>
        <w:t>：</w:t>
      </w:r>
    </w:p>
    <w:p w14:paraId="36418F06">
      <w:pPr>
        <w:pStyle w:val="11"/>
        <w:spacing w:line="360" w:lineRule="auto"/>
        <w:ind w:firstLine="480"/>
        <w:rPr>
          <w:rFonts w:hint="default" w:ascii="仿宋" w:hAnsi="仿宋" w:eastAsia="仿宋" w:cs="仿宋"/>
          <w:b w:val="0"/>
          <w:bCs/>
          <w:color w:val="auto"/>
          <w:sz w:val="28"/>
          <w:szCs w:val="28"/>
          <w:highlight w:val="none"/>
          <w:lang w:val="en-US" w:eastAsia="zh-CN"/>
        </w:rPr>
      </w:pPr>
      <w:r>
        <w:rPr>
          <w:rFonts w:hint="default" w:ascii="仿宋" w:hAnsi="仿宋" w:eastAsia="仿宋" w:cs="仿宋"/>
          <w:b w:val="0"/>
          <w:bCs/>
          <w:color w:val="auto"/>
          <w:sz w:val="28"/>
          <w:szCs w:val="28"/>
          <w:highlight w:val="none"/>
          <w:lang w:val="en-US" w:eastAsia="zh-CN"/>
        </w:rPr>
        <w:t>要求系统无缝对接，整合到综合监控管理平台进行统一管理和应用。在仪征技师学院范围内指定前端监控点位新建高清视频监控，设备须与</w:t>
      </w:r>
      <w:r>
        <w:rPr>
          <w:rFonts w:hint="eastAsia" w:ascii="仿宋" w:hAnsi="仿宋" w:eastAsia="仿宋" w:cs="仿宋"/>
          <w:b w:val="0"/>
          <w:bCs/>
          <w:color w:val="auto"/>
          <w:sz w:val="28"/>
          <w:szCs w:val="28"/>
          <w:highlight w:val="none"/>
          <w:lang w:val="en-US" w:eastAsia="zh-CN"/>
        </w:rPr>
        <w:t>仪征市公安局</w:t>
      </w:r>
      <w:r>
        <w:rPr>
          <w:rFonts w:hint="default" w:ascii="仿宋" w:hAnsi="仿宋" w:eastAsia="仿宋" w:cs="仿宋"/>
          <w:b w:val="0"/>
          <w:bCs/>
          <w:color w:val="auto"/>
          <w:sz w:val="28"/>
          <w:szCs w:val="28"/>
          <w:highlight w:val="none"/>
          <w:lang w:val="en-US" w:eastAsia="zh-CN"/>
        </w:rPr>
        <w:t>现有平台无缝对接，确保实现预期功能、保证技防运用效果。</w:t>
      </w:r>
      <w:bookmarkStart w:id="0" w:name="_GoBack"/>
      <w:bookmarkEnd w:id="0"/>
    </w:p>
    <w:p w14:paraId="6A15665A">
      <w:pPr>
        <w:pStyle w:val="4"/>
        <w:keepNext w:val="0"/>
        <w:keepLines w:val="0"/>
        <w:pageBreakBefore w:val="0"/>
        <w:widowControl/>
        <w:kinsoku/>
        <w:wordWrap/>
        <w:overflowPunct/>
        <w:topLinePunct w:val="0"/>
        <w:autoSpaceDE w:val="0"/>
        <w:autoSpaceDN/>
        <w:bidi w:val="0"/>
        <w:adjustRightInd w:val="0"/>
        <w:snapToGrid w:val="0"/>
        <w:spacing w:line="360" w:lineRule="auto"/>
        <w:ind w:right="0"/>
        <w:textAlignment w:val="baseline"/>
        <w:rPr>
          <w:rFonts w:hint="default" w:cs="仿宋"/>
          <w:b/>
          <w:bCs/>
          <w:spacing w:val="0"/>
          <w:w w:val="100"/>
          <w:position w:val="0"/>
          <w:sz w:val="28"/>
          <w:szCs w:val="28"/>
          <w:highlight w:val="none"/>
          <w:lang w:val="en-US" w:eastAsia="zh-Hans"/>
        </w:rPr>
      </w:pPr>
      <w:r>
        <w:rPr>
          <w:rFonts w:hint="eastAsia" w:cs="仿宋"/>
          <w:b/>
          <w:bCs/>
          <w:spacing w:val="0"/>
          <w:w w:val="100"/>
          <w:position w:val="0"/>
          <w:sz w:val="28"/>
          <w:szCs w:val="28"/>
          <w:highlight w:val="none"/>
          <w:lang w:val="en-US" w:eastAsia="zh-CN"/>
        </w:rPr>
        <w:t>四、设备清单</w:t>
      </w:r>
      <w:r>
        <w:rPr>
          <w:rFonts w:hint="default" w:cs="仿宋"/>
          <w:b/>
          <w:bCs/>
          <w:spacing w:val="0"/>
          <w:w w:val="100"/>
          <w:position w:val="0"/>
          <w:sz w:val="28"/>
          <w:szCs w:val="28"/>
          <w:highlight w:val="none"/>
          <w:lang w:val="en-US" w:eastAsia="zh-CN"/>
        </w:rPr>
        <w:t>：</w:t>
      </w:r>
    </w:p>
    <w:tbl>
      <w:tblPr>
        <w:tblStyle w:val="8"/>
        <w:tblW w:w="8449" w:type="dxa"/>
        <w:jc w:val="center"/>
        <w:tblLayout w:type="fixed"/>
        <w:tblCellMar>
          <w:top w:w="0" w:type="dxa"/>
          <w:left w:w="0" w:type="dxa"/>
          <w:bottom w:w="0" w:type="dxa"/>
          <w:right w:w="0" w:type="dxa"/>
        </w:tblCellMar>
      </w:tblPr>
      <w:tblGrid>
        <w:gridCol w:w="1260"/>
        <w:gridCol w:w="4030"/>
        <w:gridCol w:w="1407"/>
        <w:gridCol w:w="1752"/>
      </w:tblGrid>
      <w:tr w14:paraId="44D23057">
        <w:tblPrEx>
          <w:tblCellMar>
            <w:top w:w="0" w:type="dxa"/>
            <w:left w:w="0" w:type="dxa"/>
            <w:bottom w:w="0" w:type="dxa"/>
            <w:right w:w="0" w:type="dxa"/>
          </w:tblCellMar>
        </w:tblPrEx>
        <w:trPr>
          <w:trHeight w:val="535" w:hRule="exact"/>
          <w:jc w:val="center"/>
        </w:trPr>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6CC30">
            <w:pPr>
              <w:pStyle w:val="11"/>
              <w:spacing w:line="360" w:lineRule="auto"/>
              <w:ind w:firstLine="48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序号</w:t>
            </w:r>
          </w:p>
        </w:tc>
        <w:tc>
          <w:tcPr>
            <w:tcW w:w="40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02AE2D">
            <w:pPr>
              <w:pStyle w:val="11"/>
              <w:spacing w:line="360" w:lineRule="auto"/>
              <w:ind w:firstLine="48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设备名称</w:t>
            </w:r>
          </w:p>
        </w:tc>
        <w:tc>
          <w:tcPr>
            <w:tcW w:w="1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F3D0C6">
            <w:pPr>
              <w:pStyle w:val="11"/>
              <w:spacing w:line="360" w:lineRule="auto"/>
              <w:ind w:firstLine="48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单位</w:t>
            </w:r>
          </w:p>
        </w:tc>
        <w:tc>
          <w:tcPr>
            <w:tcW w:w="1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B23D24">
            <w:pPr>
              <w:pStyle w:val="11"/>
              <w:spacing w:line="360" w:lineRule="auto"/>
              <w:ind w:firstLine="48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数量</w:t>
            </w:r>
          </w:p>
        </w:tc>
      </w:tr>
      <w:tr w14:paraId="20B40830">
        <w:tblPrEx>
          <w:tblCellMar>
            <w:top w:w="0" w:type="dxa"/>
            <w:left w:w="0" w:type="dxa"/>
            <w:bottom w:w="0" w:type="dxa"/>
            <w:right w:w="0" w:type="dxa"/>
          </w:tblCellMar>
        </w:tblPrEx>
        <w:trPr>
          <w:trHeight w:val="495" w:hRule="exact"/>
          <w:jc w:val="center"/>
        </w:trPr>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316DC5">
            <w:pPr>
              <w:pStyle w:val="11"/>
              <w:spacing w:line="360" w:lineRule="auto"/>
              <w:ind w:firstLine="48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w:t>
            </w:r>
          </w:p>
        </w:tc>
        <w:tc>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82416">
            <w:pPr>
              <w:pStyle w:val="11"/>
              <w:spacing w:line="360" w:lineRule="auto"/>
              <w:ind w:firstLine="480"/>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枪型网络摄像机</w:t>
            </w:r>
          </w:p>
        </w:tc>
        <w:tc>
          <w:tcPr>
            <w:tcW w:w="14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C71CD">
            <w:pPr>
              <w:pStyle w:val="11"/>
              <w:spacing w:line="360" w:lineRule="auto"/>
              <w:ind w:firstLine="480"/>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个</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54E43">
            <w:pPr>
              <w:pStyle w:val="11"/>
              <w:spacing w:line="360" w:lineRule="auto"/>
              <w:ind w:firstLine="480"/>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122</w:t>
            </w:r>
          </w:p>
        </w:tc>
      </w:tr>
      <w:tr w14:paraId="0AAA4859">
        <w:tblPrEx>
          <w:tblCellMar>
            <w:top w:w="0" w:type="dxa"/>
            <w:left w:w="0" w:type="dxa"/>
            <w:bottom w:w="0" w:type="dxa"/>
            <w:right w:w="0" w:type="dxa"/>
          </w:tblCellMar>
        </w:tblPrEx>
        <w:trPr>
          <w:trHeight w:val="495" w:hRule="exact"/>
          <w:jc w:val="center"/>
        </w:trPr>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46CBA0">
            <w:pPr>
              <w:pStyle w:val="11"/>
              <w:spacing w:line="360" w:lineRule="auto"/>
              <w:ind w:firstLine="480"/>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w:t>
            </w:r>
          </w:p>
        </w:tc>
        <w:tc>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25E3A">
            <w:pPr>
              <w:pStyle w:val="11"/>
              <w:spacing w:line="360" w:lineRule="auto"/>
              <w:ind w:firstLine="48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杆件、基础等辅材</w:t>
            </w:r>
          </w:p>
        </w:tc>
        <w:tc>
          <w:tcPr>
            <w:tcW w:w="3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11A91">
            <w:pPr>
              <w:pStyle w:val="11"/>
              <w:spacing w:line="360" w:lineRule="auto"/>
              <w:ind w:firstLine="48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根据实际需要确定</w:t>
            </w:r>
          </w:p>
        </w:tc>
      </w:tr>
    </w:tbl>
    <w:p w14:paraId="424FBDED">
      <w:pPr>
        <w:pStyle w:val="4"/>
        <w:keepNext w:val="0"/>
        <w:keepLines w:val="0"/>
        <w:pageBreakBefore w:val="0"/>
        <w:widowControl/>
        <w:kinsoku/>
        <w:wordWrap/>
        <w:overflowPunct/>
        <w:topLinePunct w:val="0"/>
        <w:autoSpaceDE w:val="0"/>
        <w:autoSpaceDN/>
        <w:bidi w:val="0"/>
        <w:adjustRightInd w:val="0"/>
        <w:snapToGrid w:val="0"/>
        <w:spacing w:line="360" w:lineRule="auto"/>
        <w:ind w:right="0"/>
        <w:textAlignment w:val="baseline"/>
        <w:rPr>
          <w:rFonts w:hint="default" w:cs="仿宋"/>
          <w:b/>
          <w:bCs/>
          <w:spacing w:val="0"/>
          <w:w w:val="100"/>
          <w:position w:val="0"/>
          <w:sz w:val="28"/>
          <w:szCs w:val="28"/>
          <w:highlight w:val="none"/>
          <w:lang w:val="en-US" w:eastAsia="zh-CN"/>
        </w:rPr>
      </w:pPr>
      <w:r>
        <w:rPr>
          <w:rFonts w:hint="eastAsia" w:cs="仿宋"/>
          <w:b/>
          <w:bCs/>
          <w:spacing w:val="0"/>
          <w:w w:val="100"/>
          <w:position w:val="0"/>
          <w:sz w:val="28"/>
          <w:szCs w:val="28"/>
          <w:highlight w:val="none"/>
          <w:lang w:val="en-US" w:eastAsia="zh-CN"/>
        </w:rPr>
        <w:t>五、技术参数：</w:t>
      </w:r>
    </w:p>
    <w:p w14:paraId="26CFBC11">
      <w:pPr>
        <w:pStyle w:val="11"/>
        <w:spacing w:line="360" w:lineRule="auto"/>
        <w:ind w:firstLine="48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 图像传感器：不低于400万像素，图像传感器类型不限；</w:t>
      </w:r>
    </w:p>
    <w:p w14:paraId="1AFB7B3D">
      <w:pPr>
        <w:pStyle w:val="11"/>
        <w:spacing w:line="360" w:lineRule="auto"/>
        <w:ind w:firstLine="48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 镜头焦距：支持固定或变焦镜头，焦距范围建议涵盖4mm～8mm；</w:t>
      </w:r>
    </w:p>
    <w:p w14:paraId="22BA8C47">
      <w:pPr>
        <w:pStyle w:val="11"/>
        <w:spacing w:line="360" w:lineRule="auto"/>
        <w:ind w:firstLine="48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3. 录像存储：支持全视频实时记录，分辨率不低于1280×720，帧率不低于25帧/秒；存储时间不少于90天；</w:t>
      </w:r>
    </w:p>
    <w:p w14:paraId="29649354">
      <w:pPr>
        <w:pStyle w:val="11"/>
        <w:spacing w:line="360" w:lineRule="auto"/>
        <w:ind w:firstLine="48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4. 编码方式：支持H.265或更先进的编码格式，具备智能编码功能，有效降低码流；</w:t>
      </w:r>
    </w:p>
    <w:p w14:paraId="3FF8885B">
      <w:pPr>
        <w:pStyle w:val="11"/>
        <w:spacing w:line="360" w:lineRule="auto"/>
        <w:ind w:firstLine="48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5. 红外补光：支持红外或白光补光，具备自动调节功能，补光距离满足实际场景需求；</w:t>
      </w:r>
    </w:p>
    <w:p w14:paraId="4B0EEA5A">
      <w:pPr>
        <w:pStyle w:val="11"/>
        <w:spacing w:line="360" w:lineRule="auto"/>
        <w:ind w:firstLine="48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6. 内存与存储：内存不低于128MB，支持前端存储，最大支持256GB SD卡或以上，支持云存储；</w:t>
      </w:r>
    </w:p>
    <w:p w14:paraId="078AFB6F">
      <w:pPr>
        <w:pStyle w:val="11"/>
        <w:spacing w:line="360" w:lineRule="auto"/>
        <w:ind w:firstLine="48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7. 语音功能：支持语音对讲或音频输入输出功能；</w:t>
      </w:r>
    </w:p>
    <w:p w14:paraId="0DAFC855">
      <w:pPr>
        <w:pStyle w:val="11"/>
        <w:spacing w:line="360" w:lineRule="auto"/>
        <w:ind w:firstLine="48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8. 供电方式：支持DC12V或POE供电，适应多种安装方式（壁装/吊装）；</w:t>
      </w:r>
    </w:p>
    <w:p w14:paraId="7E0BB996">
      <w:pPr>
        <w:pStyle w:val="11"/>
        <w:spacing w:line="360" w:lineRule="auto"/>
        <w:ind w:firstLine="48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9. 防护等级：不低于IP66防护等级，适应室外环境使用；</w:t>
      </w:r>
    </w:p>
    <w:p w14:paraId="28BD7077">
      <w:pPr>
        <w:pStyle w:val="11"/>
        <w:spacing w:line="360" w:lineRule="auto"/>
        <w:ind w:firstLine="48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10. 工作环境：适应温度-30℃～+60℃，湿度≤95%；</w:t>
      </w:r>
    </w:p>
    <w:p w14:paraId="3E97BA21">
      <w:pPr>
        <w:pStyle w:val="11"/>
        <w:spacing w:line="360" w:lineRule="auto"/>
        <w:ind w:firstLine="48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11. 网络与协议：支持断网续传，支持主流联网协议（如GA/T1400、GB/T28181等）；</w:t>
      </w:r>
    </w:p>
    <w:p w14:paraId="6EA3B373">
      <w:pPr>
        <w:pStyle w:val="11"/>
        <w:spacing w:line="360" w:lineRule="auto"/>
        <w:ind w:firstLine="48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12. 智能分析功能（★）：支持区域入侵、越界侦测、人形检测等至少两种智能行为分析功能；</w:t>
      </w:r>
    </w:p>
    <w:p w14:paraId="3E13FF06">
      <w:pPr>
        <w:pStyle w:val="11"/>
        <w:spacing w:line="360" w:lineRule="auto"/>
        <w:ind w:firstLine="48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13. AI功能（★）：支持人脸抓拍、车牌识别等至少一种AI识别功能；</w:t>
      </w:r>
    </w:p>
    <w:p w14:paraId="1CFB6C8B">
      <w:pPr>
        <w:pStyle w:val="11"/>
        <w:spacing w:line="360" w:lineRule="auto"/>
        <w:ind w:firstLine="48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14. 报警功能（★）：支持至少一种报警方式（如声光报警、遮挡报警等）；</w:t>
      </w:r>
    </w:p>
    <w:p w14:paraId="42666B98">
      <w:pPr>
        <w:pStyle w:val="11"/>
        <w:spacing w:line="360" w:lineRule="auto"/>
        <w:ind w:firstLine="48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15. 夜视模式（★）：支持至少两种夜视模式（如红外夜视、全彩夜视等）；</w:t>
      </w:r>
    </w:p>
    <w:p w14:paraId="1EC0E477">
      <w:pPr>
        <w:pStyle w:val="11"/>
        <w:spacing w:line="360" w:lineRule="auto"/>
        <w:ind w:firstLine="48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16. 其他功能：提供一台监控大屏、具备客流统计、在离岗监测等功能可作为加分项。</w:t>
      </w:r>
    </w:p>
    <w:p w14:paraId="7AB85EBF">
      <w:pPr>
        <w:pStyle w:val="11"/>
        <w:spacing w:line="360" w:lineRule="auto"/>
        <w:ind w:firstLine="480"/>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17.提供7×24小时技术支援服务，故障响应及时率≤2小时、故障修复率≥98%、网络可用率≥99.9%。</w:t>
      </w:r>
    </w:p>
    <w:p w14:paraId="1A6EB5A8">
      <w:pPr>
        <w:pStyle w:val="4"/>
        <w:keepNext w:val="0"/>
        <w:keepLines w:val="0"/>
        <w:pageBreakBefore w:val="0"/>
        <w:widowControl/>
        <w:kinsoku/>
        <w:wordWrap/>
        <w:overflowPunct/>
        <w:topLinePunct w:val="0"/>
        <w:autoSpaceDE w:val="0"/>
        <w:autoSpaceDN/>
        <w:bidi w:val="0"/>
        <w:adjustRightInd w:val="0"/>
        <w:snapToGrid w:val="0"/>
        <w:spacing w:line="360" w:lineRule="auto"/>
        <w:ind w:left="0" w:right="0" w:firstLine="420" w:firstLineChars="200"/>
        <w:textAlignment w:val="baseline"/>
        <w:rPr>
          <w:rFonts w:ascii="Arial"/>
          <w:spacing w:val="0"/>
          <w:w w:val="100"/>
          <w:position w:val="0"/>
          <w:sz w:val="21"/>
        </w:rPr>
      </w:pPr>
      <w:r>
        <w:rPr>
          <w:rFonts w:ascii="Arial"/>
          <w:spacing w:val="0"/>
          <w:w w:val="100"/>
          <w:position w:val="0"/>
          <w:sz w:val="21"/>
        </w:rPr>
        <w:br w:type="page"/>
      </w:r>
    </w:p>
    <w:p w14:paraId="7CBD8C91">
      <w:pPr>
        <w:pStyle w:val="3"/>
        <w:spacing w:line="360" w:lineRule="auto"/>
        <w:jc w:val="center"/>
        <w:rPr>
          <w:rFonts w:hint="eastAsia" w:ascii="宋体" w:hAnsi="宋体" w:eastAsia="宋体" w:cs="Times New Roman"/>
          <w:color w:val="000000"/>
          <w:sz w:val="36"/>
          <w:lang w:val="en-US" w:eastAsia="zh-CN"/>
        </w:rPr>
      </w:pPr>
      <w:r>
        <w:rPr>
          <w:rFonts w:hint="eastAsia" w:ascii="宋体" w:hAnsi="宋体" w:eastAsia="宋体" w:cs="Times New Roman"/>
          <w:color w:val="000000"/>
          <w:sz w:val="36"/>
          <w:lang w:val="en-US" w:eastAsia="zh-CN"/>
        </w:rPr>
        <w:t>二、评审标准</w:t>
      </w:r>
    </w:p>
    <w:tbl>
      <w:tblPr>
        <w:tblStyle w:val="8"/>
        <w:tblW w:w="9919" w:type="dxa"/>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8341"/>
      </w:tblGrid>
      <w:tr w14:paraId="4FA3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blHeader/>
        </w:trPr>
        <w:tc>
          <w:tcPr>
            <w:tcW w:w="1578" w:type="dxa"/>
            <w:tcBorders>
              <w:top w:val="single" w:color="auto" w:sz="4" w:space="0"/>
              <w:left w:val="single" w:color="auto" w:sz="4" w:space="0"/>
              <w:bottom w:val="single" w:color="auto" w:sz="4" w:space="0"/>
              <w:right w:val="single" w:color="auto" w:sz="4" w:space="0"/>
            </w:tcBorders>
            <w:noWrap w:val="0"/>
            <w:vAlign w:val="center"/>
          </w:tcPr>
          <w:p w14:paraId="16E634A1">
            <w:pPr>
              <w:snapToGrid w:val="0"/>
              <w:spacing w:line="360" w:lineRule="auto"/>
              <w:jc w:val="center"/>
              <w:rPr>
                <w:rFonts w:ascii="宋体" w:hAnsi="宋体" w:cs="宋体"/>
                <w:b/>
                <w:sz w:val="24"/>
                <w:szCs w:val="24"/>
              </w:rPr>
            </w:pPr>
            <w:r>
              <w:rPr>
                <w:rFonts w:hint="eastAsia" w:ascii="宋体" w:hAnsi="宋体" w:cs="宋体"/>
                <w:b/>
                <w:bCs/>
                <w:sz w:val="24"/>
                <w:szCs w:val="24"/>
              </w:rPr>
              <w:t>评审项</w:t>
            </w:r>
          </w:p>
        </w:tc>
        <w:tc>
          <w:tcPr>
            <w:tcW w:w="8341" w:type="dxa"/>
            <w:tcBorders>
              <w:top w:val="single" w:color="auto" w:sz="4" w:space="0"/>
              <w:left w:val="single" w:color="auto" w:sz="4" w:space="0"/>
              <w:bottom w:val="single" w:color="auto" w:sz="4" w:space="0"/>
              <w:right w:val="single" w:color="auto" w:sz="4" w:space="0"/>
            </w:tcBorders>
            <w:noWrap w:val="0"/>
            <w:vAlign w:val="center"/>
          </w:tcPr>
          <w:p w14:paraId="090885D9">
            <w:pPr>
              <w:snapToGrid w:val="0"/>
              <w:spacing w:line="360" w:lineRule="auto"/>
              <w:jc w:val="center"/>
              <w:rPr>
                <w:rFonts w:ascii="宋体" w:hAnsi="宋体" w:cs="宋体"/>
                <w:b/>
                <w:sz w:val="24"/>
                <w:szCs w:val="24"/>
              </w:rPr>
            </w:pPr>
            <w:r>
              <w:rPr>
                <w:rFonts w:hint="eastAsia" w:ascii="宋体" w:hAnsi="宋体" w:cs="宋体"/>
                <w:b/>
                <w:sz w:val="24"/>
                <w:szCs w:val="24"/>
              </w:rPr>
              <w:t>评审标准</w:t>
            </w:r>
          </w:p>
        </w:tc>
      </w:tr>
      <w:tr w14:paraId="4865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blHeader/>
        </w:trPr>
        <w:tc>
          <w:tcPr>
            <w:tcW w:w="1578" w:type="dxa"/>
            <w:tcBorders>
              <w:top w:val="single" w:color="auto" w:sz="4" w:space="0"/>
              <w:left w:val="single" w:color="auto" w:sz="4" w:space="0"/>
              <w:bottom w:val="single" w:color="auto" w:sz="4" w:space="0"/>
              <w:right w:val="single" w:color="auto" w:sz="4" w:space="0"/>
            </w:tcBorders>
            <w:noWrap w:val="0"/>
            <w:vAlign w:val="center"/>
          </w:tcPr>
          <w:p w14:paraId="05B209F9">
            <w:pPr>
              <w:spacing w:line="360" w:lineRule="auto"/>
              <w:jc w:val="center"/>
              <w:rPr>
                <w:rFonts w:ascii="宋体" w:hAnsi="宋体" w:cs="宋体"/>
                <w:b/>
                <w:bCs/>
                <w:sz w:val="24"/>
                <w:szCs w:val="24"/>
              </w:rPr>
            </w:pPr>
            <w:r>
              <w:rPr>
                <w:rFonts w:hint="eastAsia" w:ascii="宋体" w:hAnsi="宋体" w:cs="宋体"/>
                <w:b/>
                <w:bCs/>
                <w:sz w:val="24"/>
                <w:szCs w:val="24"/>
              </w:rPr>
              <w:t>价格</w:t>
            </w:r>
          </w:p>
          <w:p w14:paraId="1FF5ABBA">
            <w:pPr>
              <w:spacing w:line="360" w:lineRule="auto"/>
              <w:jc w:val="center"/>
              <w:rPr>
                <w:rFonts w:hint="eastAsia" w:ascii="宋体" w:hAnsi="宋体" w:eastAsia="宋体" w:cs="宋体"/>
                <w:b/>
                <w:bCs/>
                <w:sz w:val="24"/>
                <w:szCs w:val="24"/>
                <w:lang w:eastAsia="zh-CN"/>
              </w:rPr>
            </w:pPr>
            <w:r>
              <w:rPr>
                <w:rFonts w:hint="eastAsia" w:ascii="宋体" w:hAnsi="宋体" w:cs="宋体"/>
                <w:b/>
                <w:bCs/>
                <w:sz w:val="24"/>
                <w:szCs w:val="24"/>
              </w:rPr>
              <w:t>（</w:t>
            </w:r>
            <w:r>
              <w:rPr>
                <w:rFonts w:hint="eastAsia" w:ascii="宋体" w:hAnsi="宋体" w:cs="宋体"/>
                <w:b/>
                <w:bCs/>
                <w:sz w:val="24"/>
                <w:szCs w:val="24"/>
                <w:lang w:val="en-US" w:eastAsia="zh-CN"/>
              </w:rPr>
              <w:t>20</w:t>
            </w:r>
            <w:r>
              <w:rPr>
                <w:rFonts w:hint="eastAsia" w:ascii="宋体" w:hAnsi="宋体" w:cs="宋体"/>
                <w:b/>
                <w:bCs/>
                <w:sz w:val="24"/>
                <w:szCs w:val="24"/>
              </w:rPr>
              <w:t>分）</w:t>
            </w:r>
          </w:p>
        </w:tc>
        <w:tc>
          <w:tcPr>
            <w:tcW w:w="8341" w:type="dxa"/>
            <w:tcBorders>
              <w:top w:val="single" w:color="auto" w:sz="4" w:space="0"/>
              <w:left w:val="single" w:color="auto" w:sz="4" w:space="0"/>
              <w:bottom w:val="single" w:color="auto" w:sz="4" w:space="0"/>
              <w:right w:val="single" w:color="auto" w:sz="4" w:space="0"/>
            </w:tcBorders>
            <w:noWrap w:val="0"/>
            <w:vAlign w:val="center"/>
          </w:tcPr>
          <w:p w14:paraId="6BB3AF20">
            <w:pPr>
              <w:spacing w:line="360" w:lineRule="auto"/>
              <w:rPr>
                <w:rFonts w:hint="default" w:ascii="宋体" w:hAnsi="宋体" w:eastAsia="宋体" w:cs="宋体"/>
                <w:sz w:val="24"/>
                <w:szCs w:val="24"/>
                <w:lang w:val="en-US" w:eastAsia="zh-CN"/>
              </w:rPr>
            </w:pPr>
            <w:r>
              <w:rPr>
                <w:rFonts w:hint="eastAsia" w:ascii="宋体" w:hAnsi="宋体" w:cs="宋体"/>
                <w:sz w:val="24"/>
                <w:szCs w:val="24"/>
              </w:rPr>
              <w:t>采用低价优先法计算，即满足招标文件要求且投标价格最低的投标报价为评标基准价，其价格分为满分。其他投标人的价格分统一按照下列公式计算：投标报价得分</w:t>
            </w:r>
            <w:r>
              <w:rPr>
                <w:rFonts w:hint="eastAsia" w:ascii="宋体" w:hAnsi="宋体" w:cs="宋体"/>
                <w:sz w:val="24"/>
                <w:szCs w:val="24"/>
                <w:lang w:val="en-US" w:eastAsia="zh-CN"/>
              </w:rPr>
              <w:t>=</w:t>
            </w:r>
            <w:r>
              <w:rPr>
                <w:rFonts w:hint="eastAsia" w:ascii="宋体" w:hAnsi="宋体" w:cs="宋体"/>
                <w:sz w:val="24"/>
                <w:szCs w:val="24"/>
              </w:rPr>
              <w:t>（评标基准价/投标报价）×</w:t>
            </w:r>
            <w:r>
              <w:rPr>
                <w:rFonts w:hint="eastAsia" w:ascii="宋体" w:hAnsi="宋体" w:cs="宋体"/>
                <w:sz w:val="24"/>
                <w:szCs w:val="24"/>
                <w:lang w:val="en-US" w:eastAsia="zh-CN"/>
              </w:rPr>
              <w:t>20</w:t>
            </w:r>
          </w:p>
        </w:tc>
      </w:tr>
      <w:tr w14:paraId="1209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blHeader/>
        </w:trPr>
        <w:tc>
          <w:tcPr>
            <w:tcW w:w="1578" w:type="dxa"/>
            <w:tcBorders>
              <w:top w:val="single" w:color="auto" w:sz="4" w:space="0"/>
              <w:left w:val="single" w:color="auto" w:sz="4" w:space="0"/>
              <w:bottom w:val="single" w:color="auto" w:sz="4" w:space="0"/>
              <w:right w:val="single" w:color="auto" w:sz="4" w:space="0"/>
            </w:tcBorders>
            <w:noWrap w:val="0"/>
            <w:vAlign w:val="center"/>
          </w:tcPr>
          <w:p w14:paraId="5F18B062">
            <w:pPr>
              <w:spacing w:line="360" w:lineRule="auto"/>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技术参数</w:t>
            </w:r>
          </w:p>
          <w:p w14:paraId="71939DD8">
            <w:pPr>
              <w:spacing w:line="360" w:lineRule="auto"/>
              <w:jc w:val="center"/>
              <w:rPr>
                <w:rFonts w:hint="eastAsia" w:ascii="宋体" w:hAnsi="宋体" w:eastAsia="宋体" w:cs="宋体"/>
                <w:b/>
                <w:bCs/>
                <w:sz w:val="24"/>
                <w:szCs w:val="24"/>
                <w:lang w:val="en-US" w:eastAsia="zh-CN"/>
              </w:rPr>
            </w:pPr>
            <w:r>
              <w:rPr>
                <w:rFonts w:hint="eastAsia" w:ascii="宋体" w:hAnsi="宋体" w:cs="宋体"/>
                <w:b/>
                <w:bCs/>
                <w:sz w:val="24"/>
                <w:szCs w:val="24"/>
              </w:rPr>
              <w:t>（</w:t>
            </w:r>
            <w:r>
              <w:rPr>
                <w:rFonts w:hint="eastAsia" w:ascii="宋体" w:hAnsi="宋体" w:cs="宋体"/>
                <w:b/>
                <w:bCs/>
                <w:sz w:val="24"/>
                <w:szCs w:val="24"/>
                <w:lang w:val="en-US" w:eastAsia="zh-CN"/>
              </w:rPr>
              <w:t>20</w:t>
            </w:r>
            <w:r>
              <w:rPr>
                <w:rFonts w:hint="eastAsia" w:ascii="宋体" w:hAnsi="宋体" w:cs="宋体"/>
                <w:b/>
                <w:bCs/>
                <w:sz w:val="24"/>
                <w:szCs w:val="24"/>
              </w:rPr>
              <w:t>分）</w:t>
            </w:r>
          </w:p>
        </w:tc>
        <w:tc>
          <w:tcPr>
            <w:tcW w:w="8341" w:type="dxa"/>
            <w:tcBorders>
              <w:top w:val="single" w:color="auto" w:sz="4" w:space="0"/>
              <w:left w:val="single" w:color="auto" w:sz="4" w:space="0"/>
              <w:bottom w:val="single" w:color="auto" w:sz="4" w:space="0"/>
              <w:right w:val="single" w:color="auto" w:sz="4" w:space="0"/>
            </w:tcBorders>
            <w:noWrap w:val="0"/>
            <w:vAlign w:val="center"/>
          </w:tcPr>
          <w:p w14:paraId="41396784">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根据投标人所投产品技术参数完全满足招标文件技术参数要求得 20分。 </w:t>
            </w:r>
          </w:p>
          <w:p w14:paraId="03F7A42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所投产品技术指标完全满足招标文件技术要求的，得20分。</w:t>
            </w:r>
          </w:p>
          <w:p w14:paraId="4F4A3056">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主要技术指标（标注“★”的条款）每出现一项偏离扣</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分，扣完为止。</w:t>
            </w:r>
          </w:p>
          <w:p w14:paraId="7F24BB30">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所投产品其他指标（未标注“★”的条款）每出现一项偏离扣</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分，扣完为止。</w:t>
            </w:r>
          </w:p>
          <w:p w14:paraId="1B22CCEC">
            <w:pPr>
              <w:spacing w:line="360" w:lineRule="auto"/>
              <w:rPr>
                <w:rFonts w:hint="eastAsia" w:ascii="宋体" w:hAnsi="宋体" w:cs="宋体"/>
                <w:sz w:val="24"/>
                <w:szCs w:val="24"/>
              </w:rPr>
            </w:pPr>
            <w:r>
              <w:rPr>
                <w:rFonts w:hint="eastAsia" w:ascii="宋体" w:hAnsi="宋体" w:eastAsia="宋体" w:cs="宋体"/>
                <w:b/>
                <w:bCs/>
                <w:sz w:val="24"/>
                <w:szCs w:val="24"/>
                <w:lang w:val="en-US" w:eastAsia="zh-CN"/>
              </w:rPr>
              <w:t>（标注“★”的须提供相关检测报告</w:t>
            </w:r>
            <w:r>
              <w:rPr>
                <w:rFonts w:hint="eastAsia" w:ascii="宋体" w:hAnsi="宋体" w:cs="宋体"/>
                <w:b/>
                <w:bCs/>
                <w:sz w:val="24"/>
                <w:szCs w:val="24"/>
                <w:lang w:val="en-US" w:eastAsia="zh-CN"/>
              </w:rPr>
              <w:t>或相关证书</w:t>
            </w:r>
            <w:r>
              <w:rPr>
                <w:rFonts w:hint="eastAsia" w:ascii="宋体" w:hAnsi="宋体" w:eastAsia="宋体" w:cs="宋体"/>
                <w:b/>
                <w:bCs/>
                <w:sz w:val="24"/>
                <w:szCs w:val="24"/>
                <w:lang w:val="en-US" w:eastAsia="zh-CN"/>
              </w:rPr>
              <w:t>复印件并加盖投标人公章；未标注“★”的条款提供技术参数响应及偏离表；不提供的不得分）</w:t>
            </w:r>
          </w:p>
        </w:tc>
      </w:tr>
      <w:tr w14:paraId="24E0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blHeader/>
        </w:trPr>
        <w:tc>
          <w:tcPr>
            <w:tcW w:w="1578" w:type="dxa"/>
            <w:tcBorders>
              <w:top w:val="single" w:color="auto" w:sz="4" w:space="0"/>
              <w:left w:val="single" w:color="auto" w:sz="4" w:space="0"/>
              <w:bottom w:val="single" w:color="auto" w:sz="4" w:space="0"/>
              <w:right w:val="single" w:color="auto" w:sz="4" w:space="0"/>
            </w:tcBorders>
            <w:noWrap w:val="0"/>
            <w:vAlign w:val="center"/>
          </w:tcPr>
          <w:p w14:paraId="0912A2F7">
            <w:pPr>
              <w:spacing w:line="360" w:lineRule="auto"/>
              <w:jc w:val="center"/>
              <w:rPr>
                <w:rFonts w:hint="eastAsia" w:ascii="宋体" w:hAnsi="宋体" w:eastAsia="宋体" w:cs="宋体"/>
                <w:b/>
                <w:bCs/>
                <w:sz w:val="24"/>
                <w:szCs w:val="24"/>
                <w:lang w:val="en-US" w:eastAsia="zh-CN"/>
              </w:rPr>
            </w:pPr>
            <w:r>
              <w:rPr>
                <w:rFonts w:hint="eastAsia" w:ascii="宋体" w:hAnsi="宋体" w:cs="宋体"/>
                <w:b/>
                <w:bCs/>
                <w:sz w:val="24"/>
                <w:szCs w:val="24"/>
              </w:rPr>
              <w:t>项目需求理解</w:t>
            </w:r>
            <w:r>
              <w:rPr>
                <w:rFonts w:hint="eastAsia" w:ascii="宋体" w:hAnsi="宋体" w:cs="宋体"/>
                <w:b/>
                <w:bCs/>
                <w:sz w:val="24"/>
                <w:szCs w:val="24"/>
                <w:lang w:val="en-US" w:eastAsia="zh-CN"/>
              </w:rPr>
              <w:t>方案</w:t>
            </w:r>
          </w:p>
          <w:p w14:paraId="7C59D37C">
            <w:pPr>
              <w:spacing w:line="360" w:lineRule="auto"/>
              <w:jc w:val="center"/>
              <w:rPr>
                <w:rFonts w:hint="eastAsia" w:ascii="宋体" w:hAnsi="宋体" w:cs="宋体"/>
                <w:b/>
                <w:bCs/>
                <w:sz w:val="24"/>
                <w:szCs w:val="24"/>
              </w:rPr>
            </w:pPr>
            <w:r>
              <w:rPr>
                <w:rFonts w:hint="eastAsia" w:ascii="宋体" w:hAnsi="宋体" w:cs="宋体"/>
                <w:b/>
                <w:bCs/>
                <w:sz w:val="24"/>
                <w:szCs w:val="24"/>
              </w:rPr>
              <w:t>（</w:t>
            </w:r>
            <w:r>
              <w:rPr>
                <w:rFonts w:hint="eastAsia" w:ascii="宋体" w:hAnsi="宋体" w:cs="宋体"/>
                <w:b/>
                <w:bCs/>
                <w:sz w:val="24"/>
                <w:szCs w:val="24"/>
                <w:lang w:val="en-US" w:eastAsia="zh-CN"/>
              </w:rPr>
              <w:t>10</w:t>
            </w:r>
            <w:r>
              <w:rPr>
                <w:rFonts w:hint="eastAsia" w:ascii="宋体" w:hAnsi="宋体" w:cs="宋体"/>
                <w:b/>
                <w:bCs/>
                <w:sz w:val="24"/>
                <w:szCs w:val="24"/>
              </w:rPr>
              <w:t>分）</w:t>
            </w:r>
          </w:p>
        </w:tc>
        <w:tc>
          <w:tcPr>
            <w:tcW w:w="8341" w:type="dxa"/>
            <w:tcBorders>
              <w:top w:val="single" w:color="auto" w:sz="4" w:space="0"/>
              <w:left w:val="single" w:color="auto" w:sz="4" w:space="0"/>
              <w:bottom w:val="single" w:color="auto" w:sz="4" w:space="0"/>
              <w:right w:val="single" w:color="auto" w:sz="4" w:space="0"/>
            </w:tcBorders>
            <w:noWrap w:val="0"/>
            <w:vAlign w:val="center"/>
          </w:tcPr>
          <w:p w14:paraId="70C7B410">
            <w:pPr>
              <w:spacing w:line="360" w:lineRule="auto"/>
              <w:jc w:val="left"/>
              <w:rPr>
                <w:rFonts w:hint="eastAsia" w:ascii="宋体" w:hAnsi="宋体" w:cs="宋体"/>
                <w:sz w:val="24"/>
                <w:szCs w:val="24"/>
              </w:rPr>
            </w:pPr>
            <w:r>
              <w:rPr>
                <w:rFonts w:hint="eastAsia" w:ascii="宋体" w:hAnsi="宋体" w:cs="宋体"/>
                <w:sz w:val="24"/>
                <w:szCs w:val="24"/>
                <w:lang w:val="en-US" w:eastAsia="zh-CN"/>
              </w:rPr>
              <w:t>投标人</w:t>
            </w:r>
            <w:r>
              <w:rPr>
                <w:rFonts w:hint="eastAsia" w:ascii="宋体" w:hAnsi="宋体" w:cs="宋体"/>
                <w:sz w:val="24"/>
                <w:szCs w:val="24"/>
              </w:rPr>
              <w:t>通过充分理解项目（建设背景、建设目标、详细设计、安全保障体系等），对需求进行深入分析，结合实际情况，把握项目的服务重点，依据需求分析提出针对性技术设计方案。</w:t>
            </w:r>
          </w:p>
          <w:p w14:paraId="027FC04F">
            <w:pPr>
              <w:spacing w:line="360" w:lineRule="auto"/>
              <w:jc w:val="left"/>
              <w:rPr>
                <w:rFonts w:hint="eastAsia" w:ascii="宋体" w:hAnsi="宋体" w:cs="宋体"/>
                <w:sz w:val="24"/>
                <w:szCs w:val="24"/>
              </w:rPr>
            </w:pPr>
            <w:r>
              <w:rPr>
                <w:rFonts w:hint="eastAsia" w:ascii="宋体" w:hAnsi="宋体" w:cs="宋体"/>
                <w:sz w:val="24"/>
                <w:szCs w:val="24"/>
              </w:rPr>
              <w:t>方案细致全面、合理，针对性强，技术可行性强，得10分；</w:t>
            </w:r>
          </w:p>
          <w:p w14:paraId="7AF99E6A">
            <w:pPr>
              <w:spacing w:line="360" w:lineRule="auto"/>
              <w:jc w:val="left"/>
              <w:rPr>
                <w:rFonts w:hint="eastAsia" w:ascii="宋体" w:hAnsi="宋体" w:cs="宋体"/>
                <w:sz w:val="24"/>
                <w:szCs w:val="24"/>
              </w:rPr>
            </w:pPr>
            <w:r>
              <w:rPr>
                <w:rFonts w:hint="eastAsia" w:ascii="宋体" w:hAnsi="宋体" w:cs="宋体"/>
                <w:sz w:val="24"/>
                <w:szCs w:val="24"/>
              </w:rPr>
              <w:t>方案较为完整，基本响应需求，技术可行性较强，得7分；</w:t>
            </w:r>
          </w:p>
          <w:p w14:paraId="52DCAE81">
            <w:pPr>
              <w:spacing w:line="360" w:lineRule="auto"/>
              <w:jc w:val="left"/>
              <w:rPr>
                <w:rFonts w:hint="eastAsia" w:ascii="宋体" w:hAnsi="宋体" w:cs="宋体"/>
                <w:sz w:val="24"/>
                <w:szCs w:val="24"/>
              </w:rPr>
            </w:pPr>
            <w:r>
              <w:rPr>
                <w:rFonts w:hint="eastAsia" w:ascii="宋体" w:hAnsi="宋体" w:cs="宋体"/>
                <w:sz w:val="24"/>
                <w:szCs w:val="24"/>
              </w:rPr>
              <w:t>方案略欠缺，对需求响应不完全，技术可行性</w:t>
            </w:r>
            <w:r>
              <w:rPr>
                <w:rFonts w:hint="eastAsia" w:ascii="宋体" w:hAnsi="宋体" w:cs="宋体"/>
                <w:sz w:val="24"/>
                <w:szCs w:val="24"/>
                <w:lang w:val="en-US" w:eastAsia="zh-CN"/>
              </w:rPr>
              <w:t>较低</w:t>
            </w:r>
            <w:r>
              <w:rPr>
                <w:rFonts w:hint="eastAsia" w:ascii="宋体" w:hAnsi="宋体" w:cs="宋体"/>
                <w:sz w:val="24"/>
                <w:szCs w:val="24"/>
              </w:rPr>
              <w:t>，得4分；</w:t>
            </w:r>
          </w:p>
          <w:p w14:paraId="5B3D9853">
            <w:pPr>
              <w:spacing w:line="360" w:lineRule="auto"/>
              <w:jc w:val="left"/>
              <w:rPr>
                <w:rFonts w:hint="eastAsia" w:ascii="宋体" w:hAnsi="宋体" w:cs="宋体"/>
                <w:sz w:val="24"/>
                <w:szCs w:val="24"/>
              </w:rPr>
            </w:pPr>
            <w:r>
              <w:rPr>
                <w:rFonts w:hint="eastAsia" w:ascii="宋体" w:hAnsi="宋体" w:cs="宋体"/>
                <w:sz w:val="24"/>
                <w:szCs w:val="24"/>
              </w:rPr>
              <w:t>方案不完整、响应度低、技术可行性低，得1分；</w:t>
            </w:r>
          </w:p>
          <w:p w14:paraId="7F9C7D1C">
            <w:pPr>
              <w:spacing w:line="360" w:lineRule="auto"/>
              <w:rPr>
                <w:rFonts w:hint="eastAsia" w:ascii="宋体" w:hAnsi="宋体" w:eastAsia="宋体" w:cs="宋体"/>
                <w:sz w:val="24"/>
                <w:szCs w:val="24"/>
                <w:lang w:val="en-US" w:eastAsia="zh-CN"/>
              </w:rPr>
            </w:pPr>
            <w:r>
              <w:rPr>
                <w:rFonts w:hint="eastAsia" w:ascii="宋体" w:hAnsi="宋体" w:cs="宋体"/>
                <w:sz w:val="24"/>
                <w:szCs w:val="24"/>
              </w:rPr>
              <w:t>未提供不得分。</w:t>
            </w:r>
          </w:p>
        </w:tc>
      </w:tr>
      <w:tr w14:paraId="0107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blHeader/>
        </w:trPr>
        <w:tc>
          <w:tcPr>
            <w:tcW w:w="1578" w:type="dxa"/>
            <w:tcBorders>
              <w:top w:val="single" w:color="auto" w:sz="4" w:space="0"/>
              <w:left w:val="single" w:color="auto" w:sz="4" w:space="0"/>
              <w:bottom w:val="single" w:color="auto" w:sz="4" w:space="0"/>
              <w:right w:val="single" w:color="auto" w:sz="4" w:space="0"/>
            </w:tcBorders>
            <w:noWrap w:val="0"/>
            <w:vAlign w:val="center"/>
          </w:tcPr>
          <w:p w14:paraId="6B406121">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项目施工方案</w:t>
            </w:r>
          </w:p>
          <w:p w14:paraId="162AA7FD">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（10分）</w:t>
            </w:r>
          </w:p>
        </w:tc>
        <w:tc>
          <w:tcPr>
            <w:tcW w:w="8341" w:type="dxa"/>
            <w:tcBorders>
              <w:top w:val="single" w:color="auto" w:sz="4" w:space="0"/>
              <w:left w:val="single" w:color="auto" w:sz="4" w:space="0"/>
              <w:bottom w:val="single" w:color="auto" w:sz="4" w:space="0"/>
              <w:right w:val="single" w:color="auto" w:sz="4" w:space="0"/>
            </w:tcBorders>
            <w:noWrap w:val="0"/>
            <w:vAlign w:val="center"/>
          </w:tcPr>
          <w:p w14:paraId="1EC51516">
            <w:pPr>
              <w:spacing w:line="360" w:lineRule="auto"/>
              <w:jc w:val="left"/>
              <w:rPr>
                <w:rFonts w:hint="eastAsia" w:ascii="宋体" w:hAnsi="宋体" w:cs="宋体"/>
                <w:sz w:val="24"/>
                <w:szCs w:val="24"/>
                <w:lang w:eastAsia="zh-CN"/>
              </w:rPr>
            </w:pPr>
            <w:r>
              <w:rPr>
                <w:rFonts w:hint="eastAsia" w:ascii="宋体" w:hAnsi="宋体" w:cs="宋体"/>
                <w:sz w:val="24"/>
                <w:szCs w:val="24"/>
                <w:lang w:val="en-US" w:eastAsia="zh-CN"/>
              </w:rPr>
              <w:t>投标人</w:t>
            </w:r>
            <w:r>
              <w:rPr>
                <w:rFonts w:hint="eastAsia" w:ascii="宋体" w:hAnsi="宋体" w:cs="宋体"/>
                <w:sz w:val="24"/>
                <w:szCs w:val="24"/>
              </w:rPr>
              <w:t>提供对本项目的实施方案（施工进度、进度保障、安全文明施工措施保障等方面）</w:t>
            </w:r>
            <w:r>
              <w:rPr>
                <w:rFonts w:hint="eastAsia" w:ascii="宋体" w:hAnsi="宋体" w:cs="宋体"/>
                <w:sz w:val="24"/>
                <w:szCs w:val="24"/>
                <w:lang w:eastAsia="zh-CN"/>
              </w:rPr>
              <w:t>。</w:t>
            </w:r>
          </w:p>
          <w:p w14:paraId="57B76F6E">
            <w:pPr>
              <w:spacing w:line="360" w:lineRule="auto"/>
              <w:jc w:val="left"/>
              <w:rPr>
                <w:rFonts w:hint="eastAsia" w:ascii="宋体" w:hAnsi="宋体" w:cs="宋体"/>
                <w:sz w:val="24"/>
                <w:szCs w:val="24"/>
              </w:rPr>
            </w:pPr>
            <w:r>
              <w:rPr>
                <w:rFonts w:hint="eastAsia" w:ascii="宋体" w:hAnsi="宋体" w:cs="宋体"/>
                <w:sz w:val="24"/>
                <w:szCs w:val="24"/>
              </w:rPr>
              <w:t>方案细致全面、合理，针对性强，技术可行性强，得10分；</w:t>
            </w:r>
          </w:p>
          <w:p w14:paraId="233B58AD">
            <w:pPr>
              <w:spacing w:line="360" w:lineRule="auto"/>
              <w:jc w:val="left"/>
              <w:rPr>
                <w:rFonts w:hint="eastAsia" w:ascii="宋体" w:hAnsi="宋体" w:cs="宋体"/>
                <w:sz w:val="24"/>
                <w:szCs w:val="24"/>
              </w:rPr>
            </w:pPr>
            <w:r>
              <w:rPr>
                <w:rFonts w:hint="eastAsia" w:ascii="宋体" w:hAnsi="宋体" w:cs="宋体"/>
                <w:sz w:val="24"/>
                <w:szCs w:val="24"/>
              </w:rPr>
              <w:t>方案较为完整，基本响应需求，技术可行性较强，得7分；</w:t>
            </w:r>
          </w:p>
          <w:p w14:paraId="35A6CAAD">
            <w:pPr>
              <w:spacing w:line="360" w:lineRule="auto"/>
              <w:jc w:val="left"/>
              <w:rPr>
                <w:rFonts w:hint="eastAsia" w:ascii="宋体" w:hAnsi="宋体" w:cs="宋体"/>
                <w:sz w:val="24"/>
                <w:szCs w:val="24"/>
              </w:rPr>
            </w:pPr>
            <w:r>
              <w:rPr>
                <w:rFonts w:hint="eastAsia" w:ascii="宋体" w:hAnsi="宋体" w:cs="宋体"/>
                <w:sz w:val="24"/>
                <w:szCs w:val="24"/>
              </w:rPr>
              <w:t>方案略欠缺，对需求响应不完全，技术可行性</w:t>
            </w:r>
            <w:r>
              <w:rPr>
                <w:rFonts w:hint="eastAsia" w:ascii="宋体" w:hAnsi="宋体" w:cs="宋体"/>
                <w:sz w:val="24"/>
                <w:szCs w:val="24"/>
                <w:lang w:val="en-US" w:eastAsia="zh-CN"/>
              </w:rPr>
              <w:t>较低</w:t>
            </w:r>
            <w:r>
              <w:rPr>
                <w:rFonts w:hint="eastAsia" w:ascii="宋体" w:hAnsi="宋体" w:cs="宋体"/>
                <w:sz w:val="24"/>
                <w:szCs w:val="24"/>
              </w:rPr>
              <w:t>，得4分；</w:t>
            </w:r>
          </w:p>
          <w:p w14:paraId="4CC27C20">
            <w:pPr>
              <w:spacing w:line="360" w:lineRule="auto"/>
              <w:jc w:val="left"/>
              <w:rPr>
                <w:rFonts w:hint="eastAsia" w:ascii="宋体" w:hAnsi="宋体" w:cs="宋体"/>
                <w:sz w:val="24"/>
                <w:szCs w:val="24"/>
              </w:rPr>
            </w:pPr>
            <w:r>
              <w:rPr>
                <w:rFonts w:hint="eastAsia" w:ascii="宋体" w:hAnsi="宋体" w:cs="宋体"/>
                <w:sz w:val="24"/>
                <w:szCs w:val="24"/>
              </w:rPr>
              <w:t>方案不完整、响应度低、技术可行性低，得1分；</w:t>
            </w:r>
          </w:p>
          <w:p w14:paraId="0807CBD7">
            <w:pPr>
              <w:spacing w:line="360" w:lineRule="auto"/>
              <w:rPr>
                <w:rFonts w:hint="eastAsia" w:ascii="宋体" w:hAnsi="宋体" w:cs="宋体"/>
                <w:sz w:val="24"/>
                <w:szCs w:val="24"/>
              </w:rPr>
            </w:pPr>
            <w:r>
              <w:rPr>
                <w:rFonts w:hint="eastAsia" w:ascii="宋体" w:hAnsi="宋体" w:cs="宋体"/>
                <w:sz w:val="24"/>
                <w:szCs w:val="24"/>
              </w:rPr>
              <w:t>未提供不得分。</w:t>
            </w:r>
          </w:p>
        </w:tc>
      </w:tr>
      <w:tr w14:paraId="62CA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blHeader/>
        </w:trPr>
        <w:tc>
          <w:tcPr>
            <w:tcW w:w="1578" w:type="dxa"/>
            <w:tcBorders>
              <w:top w:val="single" w:color="auto" w:sz="4" w:space="0"/>
              <w:left w:val="single" w:color="auto" w:sz="4" w:space="0"/>
              <w:bottom w:val="single" w:color="auto" w:sz="4" w:space="0"/>
              <w:right w:val="single" w:color="auto" w:sz="4" w:space="0"/>
            </w:tcBorders>
            <w:noWrap w:val="0"/>
            <w:vAlign w:val="center"/>
          </w:tcPr>
          <w:p w14:paraId="60E2438F">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质量保障方案</w:t>
            </w:r>
          </w:p>
          <w:p w14:paraId="21DFCF04">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（10分）</w:t>
            </w:r>
          </w:p>
        </w:tc>
        <w:tc>
          <w:tcPr>
            <w:tcW w:w="8341" w:type="dxa"/>
            <w:tcBorders>
              <w:top w:val="single" w:color="auto" w:sz="4" w:space="0"/>
              <w:left w:val="single" w:color="auto" w:sz="4" w:space="0"/>
              <w:bottom w:val="single" w:color="auto" w:sz="4" w:space="0"/>
              <w:right w:val="single" w:color="auto" w:sz="4" w:space="0"/>
            </w:tcBorders>
            <w:noWrap w:val="0"/>
            <w:vAlign w:val="center"/>
          </w:tcPr>
          <w:p w14:paraId="7CBCFD31">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sz w:val="24"/>
                <w:szCs w:val="24"/>
                <w:lang w:val="en-US" w:eastAsia="zh-CN"/>
              </w:rPr>
              <w:t>投标人</w:t>
            </w:r>
            <w:r>
              <w:rPr>
                <w:rFonts w:hint="eastAsia" w:ascii="宋体" w:hAnsi="宋体" w:eastAsia="宋体" w:cs="宋体"/>
                <w:color w:val="auto"/>
                <w:kern w:val="2"/>
                <w:sz w:val="24"/>
                <w:szCs w:val="24"/>
                <w:highlight w:val="none"/>
                <w:lang w:val="en-US" w:eastAsia="zh-CN" w:bidi="ar-SA"/>
              </w:rPr>
              <w:t>提供对本项目的质量保障方案。</w:t>
            </w:r>
          </w:p>
          <w:p w14:paraId="64D50AA7">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方案细致全面、合理，针对性强，技术可行性强，得10分；</w:t>
            </w:r>
          </w:p>
          <w:p w14:paraId="48FB2A27">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方案较为完整，基本响应需求，技术可行性较强，得7分；</w:t>
            </w:r>
          </w:p>
          <w:p w14:paraId="342E5D6F">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方案略欠缺，对需求响应不完全，技术可行性较低，得4分；</w:t>
            </w:r>
          </w:p>
          <w:p w14:paraId="36AFC2A9">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方案不完整、响应度低、技术可行性低，得1分；</w:t>
            </w:r>
          </w:p>
          <w:p w14:paraId="291D19FC">
            <w:pPr>
              <w:spacing w:line="360" w:lineRule="auto"/>
              <w:rPr>
                <w:rFonts w:hint="eastAsia" w:ascii="宋体" w:hAnsi="宋体" w:cs="宋体"/>
                <w:sz w:val="24"/>
                <w:szCs w:val="24"/>
              </w:rPr>
            </w:pPr>
            <w:r>
              <w:rPr>
                <w:rFonts w:hint="eastAsia" w:ascii="宋体" w:hAnsi="宋体" w:eastAsia="宋体" w:cs="宋体"/>
                <w:color w:val="auto"/>
                <w:kern w:val="2"/>
                <w:sz w:val="24"/>
                <w:szCs w:val="24"/>
                <w:highlight w:val="none"/>
                <w:lang w:val="en-US" w:eastAsia="zh-CN" w:bidi="ar-SA"/>
              </w:rPr>
              <w:t>未提供不得分。</w:t>
            </w:r>
          </w:p>
        </w:tc>
      </w:tr>
      <w:tr w14:paraId="6812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blHeader/>
        </w:trPr>
        <w:tc>
          <w:tcPr>
            <w:tcW w:w="1578" w:type="dxa"/>
            <w:tcBorders>
              <w:top w:val="single" w:color="auto" w:sz="4" w:space="0"/>
              <w:left w:val="single" w:color="auto" w:sz="4" w:space="0"/>
              <w:bottom w:val="single" w:color="auto" w:sz="4" w:space="0"/>
              <w:right w:val="single" w:color="auto" w:sz="4" w:space="0"/>
            </w:tcBorders>
            <w:noWrap w:val="0"/>
            <w:vAlign w:val="center"/>
          </w:tcPr>
          <w:p w14:paraId="32C430EC">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售后方案</w:t>
            </w:r>
          </w:p>
          <w:p w14:paraId="6D34459F">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（10分）</w:t>
            </w:r>
          </w:p>
        </w:tc>
        <w:tc>
          <w:tcPr>
            <w:tcW w:w="8341" w:type="dxa"/>
            <w:tcBorders>
              <w:top w:val="single" w:color="auto" w:sz="4" w:space="0"/>
              <w:left w:val="single" w:color="auto" w:sz="4" w:space="0"/>
              <w:bottom w:val="single" w:color="auto" w:sz="4" w:space="0"/>
              <w:right w:val="single" w:color="auto" w:sz="4" w:space="0"/>
            </w:tcBorders>
            <w:noWrap w:val="0"/>
            <w:vAlign w:val="center"/>
          </w:tcPr>
          <w:p w14:paraId="5D8319C4">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sz w:val="24"/>
                <w:szCs w:val="24"/>
                <w:lang w:val="en-US" w:eastAsia="zh-CN"/>
              </w:rPr>
              <w:t>投标人</w:t>
            </w:r>
            <w:r>
              <w:rPr>
                <w:rFonts w:hint="eastAsia" w:ascii="宋体" w:hAnsi="宋体" w:eastAsia="宋体" w:cs="宋体"/>
                <w:color w:val="auto"/>
                <w:kern w:val="2"/>
                <w:sz w:val="24"/>
                <w:szCs w:val="24"/>
                <w:highlight w:val="none"/>
                <w:lang w:val="en-US" w:eastAsia="zh-CN" w:bidi="ar-SA"/>
              </w:rPr>
              <w:t>提供对本项目详细的售后服务方案（包含故障响应速度、售后服务保障、备品备件服务承诺等）。</w:t>
            </w:r>
          </w:p>
          <w:p w14:paraId="4D0CC31D">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方案细致全面、合理，针对性强，技术可行性强，得10分；</w:t>
            </w:r>
          </w:p>
          <w:p w14:paraId="6EB48310">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方案较为完整，基本响应需求，技术可行性较强，得7分；</w:t>
            </w:r>
          </w:p>
          <w:p w14:paraId="2119AE48">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方案略欠缺，对需求响应不完全，技术可行性较低，得4分；</w:t>
            </w:r>
          </w:p>
          <w:p w14:paraId="249B8F3D">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方案不完整、响应度低、技术可行性低，得1分；</w:t>
            </w:r>
          </w:p>
          <w:p w14:paraId="21100B37">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未提供不得分。</w:t>
            </w:r>
          </w:p>
        </w:tc>
      </w:tr>
      <w:tr w14:paraId="1C96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blHeader/>
        </w:trPr>
        <w:tc>
          <w:tcPr>
            <w:tcW w:w="1578" w:type="dxa"/>
            <w:tcBorders>
              <w:top w:val="single" w:color="auto" w:sz="4" w:space="0"/>
              <w:left w:val="single" w:color="auto" w:sz="4" w:space="0"/>
              <w:bottom w:val="single" w:color="auto" w:sz="4" w:space="0"/>
              <w:right w:val="single" w:color="auto" w:sz="4" w:space="0"/>
            </w:tcBorders>
            <w:noWrap w:val="0"/>
            <w:vAlign w:val="center"/>
          </w:tcPr>
          <w:p w14:paraId="2E6B0170">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培训方案</w:t>
            </w:r>
          </w:p>
          <w:p w14:paraId="0DBE0C13">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（10分）</w:t>
            </w:r>
          </w:p>
        </w:tc>
        <w:tc>
          <w:tcPr>
            <w:tcW w:w="8341" w:type="dxa"/>
            <w:tcBorders>
              <w:top w:val="single" w:color="auto" w:sz="4" w:space="0"/>
              <w:left w:val="single" w:color="auto" w:sz="4" w:space="0"/>
              <w:bottom w:val="single" w:color="auto" w:sz="4" w:space="0"/>
              <w:right w:val="single" w:color="auto" w:sz="4" w:space="0"/>
            </w:tcBorders>
            <w:noWrap w:val="0"/>
            <w:vAlign w:val="center"/>
          </w:tcPr>
          <w:p w14:paraId="35CB9FB2">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sz w:val="24"/>
                <w:szCs w:val="24"/>
                <w:lang w:val="en-US" w:eastAsia="zh-CN"/>
              </w:rPr>
              <w:t>投标人</w:t>
            </w:r>
            <w:r>
              <w:rPr>
                <w:rFonts w:hint="eastAsia" w:ascii="宋体" w:hAnsi="宋体" w:eastAsia="宋体" w:cs="宋体"/>
                <w:color w:val="auto"/>
                <w:kern w:val="2"/>
                <w:sz w:val="24"/>
                <w:szCs w:val="24"/>
                <w:highlight w:val="none"/>
                <w:lang w:val="en-US" w:eastAsia="zh-CN" w:bidi="ar-SA"/>
              </w:rPr>
              <w:t>提供对本项目详细的培训方案（内容须包含培训方式、课时、地点、人数以及培训内容等方面）。</w:t>
            </w:r>
          </w:p>
          <w:p w14:paraId="568AAD50">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方案细致全面、合理，针对性强，技术可行性强，得10分；</w:t>
            </w:r>
          </w:p>
          <w:p w14:paraId="6A88B8A7">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方案较为完整，基本响应需求，技术可行性较强，得7分；</w:t>
            </w:r>
          </w:p>
          <w:p w14:paraId="512669FB">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方案略欠缺，对需求响应不完全，技术可行性较低，得4分；</w:t>
            </w:r>
          </w:p>
          <w:p w14:paraId="0A5C232D">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方案不完整、响应度低、技术可行性低，得1分；</w:t>
            </w:r>
          </w:p>
          <w:p w14:paraId="1BF4B579">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未提供不得分。</w:t>
            </w:r>
          </w:p>
        </w:tc>
      </w:tr>
      <w:tr w14:paraId="54A6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blHeader/>
        </w:trPr>
        <w:tc>
          <w:tcPr>
            <w:tcW w:w="1578" w:type="dxa"/>
            <w:tcBorders>
              <w:top w:val="single" w:color="auto" w:sz="4" w:space="0"/>
              <w:left w:val="single" w:color="auto" w:sz="4" w:space="0"/>
              <w:bottom w:val="single" w:color="auto" w:sz="4" w:space="0"/>
              <w:right w:val="single" w:color="auto" w:sz="4" w:space="0"/>
            </w:tcBorders>
            <w:noWrap w:val="0"/>
            <w:vAlign w:val="center"/>
          </w:tcPr>
          <w:p w14:paraId="7B8E09C2">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类似业绩</w:t>
            </w:r>
          </w:p>
          <w:p w14:paraId="11F6E1AD">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（10分）</w:t>
            </w:r>
          </w:p>
        </w:tc>
        <w:tc>
          <w:tcPr>
            <w:tcW w:w="8341" w:type="dxa"/>
            <w:tcBorders>
              <w:top w:val="single" w:color="auto" w:sz="4" w:space="0"/>
              <w:left w:val="single" w:color="auto" w:sz="4" w:space="0"/>
              <w:bottom w:val="single" w:color="auto" w:sz="4" w:space="0"/>
              <w:right w:val="single" w:color="auto" w:sz="4" w:space="0"/>
            </w:tcBorders>
            <w:noWrap w:val="0"/>
            <w:vAlign w:val="center"/>
          </w:tcPr>
          <w:p w14:paraId="1379C1CD">
            <w:pPr>
              <w:spacing w:line="360" w:lineRule="auto"/>
              <w:jc w:val="left"/>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val="en-US" w:eastAsia="zh-CN" w:bidi="ar"/>
              </w:rPr>
              <w:t>投标人自</w:t>
            </w:r>
            <w:r>
              <w:rPr>
                <w:rFonts w:hint="eastAsia" w:ascii="宋体" w:hAnsi="宋体" w:eastAsia="宋体" w:cs="宋体"/>
                <w:color w:val="auto"/>
                <w:sz w:val="24"/>
                <w:szCs w:val="24"/>
                <w:highlight w:val="none"/>
                <w:lang w:bidi="ar"/>
              </w:rPr>
              <w:t>202</w:t>
            </w: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bidi="ar"/>
              </w:rPr>
              <w:t>年1月1日以来（以合同签订时间为准）</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具有</w:t>
            </w:r>
            <w:r>
              <w:rPr>
                <w:rFonts w:hint="eastAsia" w:ascii="宋体" w:hAnsi="宋体" w:eastAsia="宋体" w:cs="宋体"/>
                <w:color w:val="auto"/>
                <w:sz w:val="24"/>
                <w:szCs w:val="24"/>
                <w:highlight w:val="none"/>
                <w:lang w:bidi="ar"/>
              </w:rPr>
              <w:t>类似</w:t>
            </w:r>
            <w:r>
              <w:rPr>
                <w:rFonts w:hint="eastAsia" w:ascii="宋体" w:hAnsi="宋体" w:eastAsia="宋体" w:cs="宋体"/>
                <w:color w:val="auto"/>
                <w:sz w:val="24"/>
                <w:szCs w:val="24"/>
                <w:highlight w:val="none"/>
                <w:lang w:val="en-US" w:eastAsia="zh-CN" w:bidi="ar"/>
              </w:rPr>
              <w:t>采购项目业绩</w:t>
            </w:r>
            <w:r>
              <w:rPr>
                <w:rFonts w:hint="eastAsia" w:ascii="宋体" w:hAnsi="宋体" w:eastAsia="宋体" w:cs="宋体"/>
                <w:color w:val="auto"/>
                <w:sz w:val="24"/>
                <w:szCs w:val="24"/>
                <w:highlight w:val="none"/>
                <w:lang w:bidi="ar"/>
              </w:rPr>
              <w:t>，每有1项得2分，最高得</w:t>
            </w:r>
            <w:r>
              <w:rPr>
                <w:rFonts w:hint="eastAsia" w:ascii="宋体" w:hAnsi="宋体" w:eastAsia="宋体" w:cs="宋体"/>
                <w:color w:val="auto"/>
                <w:sz w:val="24"/>
                <w:szCs w:val="24"/>
                <w:highlight w:val="none"/>
                <w:lang w:val="en-US" w:eastAsia="zh-CN" w:bidi="ar"/>
              </w:rPr>
              <w:t>10</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lang w:eastAsia="zh-CN" w:bidi="ar"/>
              </w:rPr>
              <w:t>。</w:t>
            </w:r>
          </w:p>
          <w:p w14:paraId="1DC2D98B">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szCs w:val="24"/>
                <w:highlight w:val="none"/>
              </w:rPr>
              <w:t>（以合同签订时间为准，提供合同</w:t>
            </w:r>
            <w:r>
              <w:rPr>
                <w:rFonts w:hint="eastAsia" w:ascii="宋体" w:hAnsi="宋体"/>
                <w:b/>
                <w:bCs/>
                <w:i w:val="0"/>
                <w:iCs w:val="0"/>
                <w:color w:val="auto"/>
                <w:kern w:val="2"/>
                <w:sz w:val="24"/>
                <w:szCs w:val="24"/>
                <w:highlight w:val="none"/>
                <w:u w:val="none"/>
                <w:lang w:val="en-US" w:eastAsia="zh-CN"/>
              </w:rPr>
              <w:t>复印件并加盖投标人公章</w:t>
            </w:r>
            <w:r>
              <w:rPr>
                <w:rFonts w:hint="eastAsia" w:ascii="宋体" w:hAnsi="宋体" w:cs="宋体"/>
                <w:b/>
                <w:bCs/>
                <w:color w:val="auto"/>
                <w:sz w:val="24"/>
                <w:szCs w:val="24"/>
                <w:highlight w:val="none"/>
              </w:rPr>
              <w:t>）</w:t>
            </w:r>
          </w:p>
        </w:tc>
      </w:tr>
    </w:tbl>
    <w:p w14:paraId="7FF85B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B7A69"/>
    <w:rsid w:val="01B6001E"/>
    <w:rsid w:val="05221F5B"/>
    <w:rsid w:val="07216309"/>
    <w:rsid w:val="106B7A69"/>
    <w:rsid w:val="131C7D05"/>
    <w:rsid w:val="13496882"/>
    <w:rsid w:val="155E3547"/>
    <w:rsid w:val="18181F40"/>
    <w:rsid w:val="21FA090A"/>
    <w:rsid w:val="22DC45A7"/>
    <w:rsid w:val="24AC0501"/>
    <w:rsid w:val="25AB1827"/>
    <w:rsid w:val="26704CCC"/>
    <w:rsid w:val="26FE68FB"/>
    <w:rsid w:val="299E06CC"/>
    <w:rsid w:val="2C5355EA"/>
    <w:rsid w:val="36ED11B9"/>
    <w:rsid w:val="3E475ED5"/>
    <w:rsid w:val="3EFF6169"/>
    <w:rsid w:val="402409A3"/>
    <w:rsid w:val="40CF0DA0"/>
    <w:rsid w:val="40E01F8F"/>
    <w:rsid w:val="481525BB"/>
    <w:rsid w:val="495F5268"/>
    <w:rsid w:val="4C882F19"/>
    <w:rsid w:val="51127590"/>
    <w:rsid w:val="53700BD6"/>
    <w:rsid w:val="579507B0"/>
    <w:rsid w:val="581475D5"/>
    <w:rsid w:val="58C125F4"/>
    <w:rsid w:val="5CA13427"/>
    <w:rsid w:val="5E454658"/>
    <w:rsid w:val="5F1C5950"/>
    <w:rsid w:val="5F574EF1"/>
    <w:rsid w:val="5FCB18FA"/>
    <w:rsid w:val="60625F4B"/>
    <w:rsid w:val="63853B51"/>
    <w:rsid w:val="686A4209"/>
    <w:rsid w:val="691C772D"/>
    <w:rsid w:val="6EC8547B"/>
    <w:rsid w:val="729B4339"/>
    <w:rsid w:val="7630738A"/>
    <w:rsid w:val="7BCF5BC6"/>
    <w:rsid w:val="7E333D55"/>
    <w:rsid w:val="7EA51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lang w:val="zh-CN" w:eastAsia="zh-CN"/>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semiHidden/>
    <w:qFormat/>
    <w:uiPriority w:val="0"/>
    <w:rPr>
      <w:rFonts w:ascii="仿宋" w:hAnsi="仿宋" w:eastAsia="仿宋" w:cs="仿宋"/>
      <w:sz w:val="29"/>
      <w:szCs w:val="29"/>
      <w:lang w:val="en-US" w:eastAsia="en-US" w:bidi="ar-SA"/>
    </w:rPr>
  </w:style>
  <w:style w:type="paragraph" w:styleId="5">
    <w:name w:val="Body Text Indent"/>
    <w:basedOn w:val="1"/>
    <w:unhideWhenUsed/>
    <w:qFormat/>
    <w:uiPriority w:val="99"/>
    <w:pPr>
      <w:spacing w:after="120"/>
      <w:ind w:left="420" w:leftChars="200"/>
    </w:pPr>
  </w:style>
  <w:style w:type="paragraph" w:styleId="6">
    <w:name w:val="Body Text First Indent"/>
    <w:basedOn w:val="1"/>
    <w:qFormat/>
    <w:uiPriority w:val="0"/>
    <w:pPr>
      <w:spacing w:after="120" w:line="440" w:lineRule="exact"/>
      <w:ind w:firstLine="420"/>
    </w:pPr>
    <w:rPr>
      <w:rFonts w:ascii="宋体"/>
      <w:sz w:val="24"/>
      <w:szCs w:val="28"/>
    </w:rPr>
  </w:style>
  <w:style w:type="paragraph" w:styleId="7">
    <w:name w:val="Body Text First Indent 2"/>
    <w:basedOn w:val="5"/>
    <w:qFormat/>
    <w:uiPriority w:val="0"/>
    <w:pPr>
      <w:ind w:firstLine="420" w:firstLineChars="200"/>
    </w:pPr>
    <w:rPr>
      <w:rFonts w:ascii="楷体_GB2312" w:hAnsi="Times New Roman" w:eastAsia="楷体_GB2312" w:cs="Times New Roman"/>
      <w:szCs w:val="20"/>
      <w:lang w:val="zh-CN"/>
    </w:rPr>
  </w:style>
  <w:style w:type="paragraph" w:customStyle="1" w:styleId="10">
    <w:name w:val="DAS正文"/>
    <w:basedOn w:val="1"/>
    <w:qFormat/>
    <w:uiPriority w:val="0"/>
    <w:pPr>
      <w:spacing w:line="360" w:lineRule="auto"/>
      <w:ind w:right="181" w:firstLine="480"/>
    </w:pPr>
    <w:rPr>
      <w:rFonts w:ascii="Verdana" w:hAnsi="Verdana"/>
    </w:rPr>
  </w:style>
  <w:style w:type="paragraph" w:customStyle="1" w:styleId="11">
    <w:name w:val="BodyText1I"/>
    <w:basedOn w:val="12"/>
    <w:qFormat/>
    <w:uiPriority w:val="0"/>
    <w:pPr>
      <w:spacing w:line="440" w:lineRule="exact"/>
      <w:ind w:firstLine="420"/>
    </w:pPr>
    <w:rPr>
      <w:rFonts w:ascii="宋体" w:hAnsi="Calibri" w:eastAsia="仿宋_GB2312"/>
      <w:sz w:val="24"/>
    </w:rPr>
  </w:style>
  <w:style w:type="paragraph" w:customStyle="1" w:styleId="12">
    <w:name w:val="BodyText"/>
    <w:basedOn w:val="1"/>
    <w:qFormat/>
    <w:uiPriority w:val="0"/>
    <w:rPr>
      <w:rFonts w:ascii="楷体_GB2312" w:hAnsi="Arial" w:eastAsia="楷体_GB2312"/>
      <w:sz w:val="28"/>
      <w:szCs w:val="28"/>
    </w:rPr>
  </w:style>
  <w:style w:type="paragraph" w:customStyle="1" w:styleId="13">
    <w:name w:val="Body text|1"/>
    <w:basedOn w:val="1"/>
    <w:qFormat/>
    <w:uiPriority w:val="0"/>
    <w:pPr>
      <w:spacing w:line="437" w:lineRule="auto"/>
      <w:ind w:firstLine="400"/>
    </w:pPr>
    <w:rPr>
      <w:rFonts w:ascii="宋体" w:hAnsi="宋体" w:cs="宋体"/>
      <w:sz w:val="26"/>
      <w:szCs w:val="26"/>
      <w:lang w:val="zh-TW" w:eastAsia="zh-TW" w:bidi="zh-TW"/>
    </w:rPr>
  </w:style>
  <w:style w:type="paragraph" w:customStyle="1" w:styleId="14">
    <w:name w:val="列出段落1"/>
    <w:basedOn w:val="1"/>
    <w:qFormat/>
    <w:uiPriority w:val="0"/>
    <w:pPr>
      <w:widowControl/>
      <w:ind w:left="720"/>
      <w:contextualSpacing/>
      <w:jc w:val="left"/>
    </w:pPr>
    <w:rPr>
      <w:kern w:val="0"/>
      <w:sz w:val="24"/>
      <w:szCs w:val="24"/>
      <w:lang w:val="zh-CN"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2129</Words>
  <Characters>2246</Characters>
  <Lines>0</Lines>
  <Paragraphs>0</Paragraphs>
  <TotalTime>7</TotalTime>
  <ScaleCrop>false</ScaleCrop>
  <LinksUpToDate>false</LinksUpToDate>
  <CharactersWithSpaces>2265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2025-05-13T08:50:00Z</dcterms:created>
  <dc:creator>药石无医</dc:creator>
  <cp:lastModifiedBy>药石无医</cp:lastModifiedBy>
  <dcterms:modified xsi:type="dcterms:W3CDTF">2025-10-22T07:30:41Z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B2A1F959B9BD48AF9FC61DB8E83AF160_11</vt:lpwstr>
  </property>
  <property fmtid="{D5CDD505-2E9C-101B-9397-08002B2CF9AE}" pid="4" name="KSOTemplateDocerSaveRecord">
    <vt:lpwstr>eyJoZGlkIjoiNTQ1NTIwYTQ3YjEzOTg0NjM0MDFkZmJlMTFmNDA4NzkiLCJ1c2VySWQiOiIzMDUxODA3NjcifQ==</vt:lpwstr>
  </property>
</Properties>
</file>